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1538/QĐ-NHCS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Dự án Chương trình phát triển doanh nghiệp nhỏ và vừa vay vốn KFW</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Lập Giấy đề nghị vay vốn (mẫu số 01/TDDN), Dự án vay vốn (mẫu số 02/TDDN) và gửi kèm các giấy tờ có liên quan tới NHCSXH nơi thực hiện thủ tục.
</w:t>
      </w:r>
    </w:p>
    <w:p>
      <w:pPr>
        <w:spacing w:after="0" w:before="0" w:lineRule="auto" w:line="276"/>
        <w:jc w:val="both"/>
      </w:pPr>
      <w:r>
        <w:rPr>
          <w:rFonts w:ascii="Times New Roman" w:hAnsi="Times New Roman" w:cs="Times New Roman" w:eastAsia="Times New Roman"/>
          <w:b w:val="false"/>
          <w:sz w:val="26"/>
        </w:rPr>
        <w:t>Bước 2. NHCSXH nơi thực hiện thủ tục 
Kiểm tra, thẩm định tính đầy đủ, hợp pháp, hợp lệ của hồ sơ vay vốn theo quy định, trình Giám đốc NHCSXH nơi thực hiện thủ tục xem xét, phê duyệt:
- Nếu không đủ điều kiện cho vay, Ngân hàng thông báo từ chối cho vay (mẫu số 06/TDDN) để khách hàng biết.  
- Nếu đủ điều kiện cho vay, Ngân hàng thông báo phê duyệt cho vay (mẫu số 05/TDDN) và cùng khách hàng lập, ký kết Hợp đồng tín dụng (mẫu số 07/TDDN).
</w:t>
      </w:r>
    </w:p>
    <w:p>
      <w:pPr>
        <w:spacing w:after="0" w:before="0" w:lineRule="auto" w:line="276"/>
        <w:jc w:val="both"/>
      </w:pPr>
      <w:r>
        <w:rPr>
          <w:rFonts w:ascii="Times New Roman" w:hAnsi="Times New Roman" w:cs="Times New Roman" w:eastAsia="Times New Roman"/>
          <w:b w:val="false"/>
          <w:sz w:val="26"/>
        </w:rPr>
        <w:t xml:space="preserve">Bước 3. Khách hàng: Thực hiện đăng ký bảo đảm tiền vay theo quy định của NHCSXH.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hồ sơ đề nghị vay vốn trực tiếp hoặc qua đường bưu điện cho NHCSXH nơi thực hiện thủ tục.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(mười lăm) ngày làm việc kể từ ngày NHCSXH nơi thực hiện thủ tục nhận được hồ sơ đầy đủ, hợp lệ từ khách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(mẫu số 01/TDDN): 01 Bản chính (lưu NHCSXH nơi thực hiện thủ tục);</w:t>
            </w:r>
          </w:p>
        </w:tc>
        <w:tc>
          <w:p/>
          <w:p>
            <w:pPr>
              <w:spacing w:after="0" w:before="0" w:lineRule="auto" w:line="276"/>
              <w:jc w:val="left"/>
            </w:pPr>
            <w:r>
              <w:rPr>
                <w:rFonts w:ascii="Times New Roman" w:hAnsi="Times New Roman" w:cs="Times New Roman" w:eastAsia="Times New Roman"/>
                <w:b w:val="false"/>
                <w:sz w:val="26"/>
              </w:rPr>
              <w:t>01-TDDN (Giấy đề nghị vay vốn-VB-5088 2.12.2016).doc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phép đầu tư đối với doanh nghiệp có vốn đầu tư nước ngoài: 01 bản (Bản sao từ sổ gốc hoặc bản sao và xuất trình bản chính để đối chiếu hoặc bản sao có chứng thực (trường hợp nộp hồ sơ trực tiếp); nộp bản sao có chứng thực (trường hợp nộp hồ sơ qua bưu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Doanh nghiệp hoạt động từ 02 năm trở lên: Báo cáo tài chính theo quy định của pháp luật trong 02 năm liền kề và Báo cáo nhanh về tình hình tài chính kể từ đầu năm tài chính đến thời điểm vay vốn: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Doanh nghiệp có thời gian hoạt động dưới 02 năm: Báo cáo tài chính năm đã hoạt động (nếu có) và Báo cáo về tình hình tài chính kể từ đầu năm tài chính đến thời điểm vay: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vay vốn (mẫu 02/TDDN): 02 Bản chính (01 bản lưu NHCSXH nơi thực hiện thủ tục, 01 bản lưu khách hàng);</w:t>
            </w:r>
          </w:p>
        </w:tc>
        <w:tc>
          <w:p/>
          <w:p>
            <w:pPr>
              <w:spacing w:after="0" w:before="0" w:lineRule="auto" w:line="276"/>
              <w:jc w:val="left"/>
            </w:pPr>
            <w:r>
              <w:rPr>
                <w:rFonts w:ascii="Times New Roman" w:hAnsi="Times New Roman" w:cs="Times New Roman" w:eastAsia="Times New Roman"/>
                <w:b w:val="false"/>
                <w:sz w:val="26"/>
              </w:rPr>
              <w:t>02-TDDN (VB-5088-2.12.2016).doc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05/TDDN).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5088/NHCS-TDSV</w:t>
            </w:r>
          </w:p>
        </w:tc>
        <w:tc>
          <w:p/>
          <w:p>
            <w:pPr>
              <w:spacing w:after="0" w:before="0" w:lineRule="auto" w:line="276"/>
              <w:jc w:val="left"/>
            </w:pPr>
            <w:r>
              <w:rPr>
                <w:rFonts w:ascii="Times New Roman" w:hAnsi="Times New Roman" w:cs="Times New Roman" w:eastAsia="Times New Roman"/>
                <w:b w:val="false"/>
                <w:sz w:val="26"/>
              </w:rPr>
              <w:t>Công văn số 5088/NHCS-TDSV</w:t>
            </w:r>
          </w:p>
        </w:tc>
        <w:tc>
          <w:p/>
          <w:p>
            <w:pPr>
              <w:spacing w:after="0" w:before="0" w:lineRule="auto" w:line="276"/>
              <w:jc w:val="left"/>
            </w:pPr>
            <w:r>
              <w:rPr>
                <w:rFonts w:ascii="Times New Roman" w:hAnsi="Times New Roman" w:cs="Times New Roman" w:eastAsia="Times New Roman"/>
                <w:b w:val="false"/>
                <w:sz w:val="26"/>
              </w:rPr>
              <w:t>02-12-2016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xml:space="preserve"> 1485/NHCS-TDSV</w:t>
            </w:r>
          </w:p>
        </w:tc>
        <w:tc>
          <w:p/>
          <w:p>
            <w:pPr>
              <w:spacing w:after="0" w:before="0" w:lineRule="auto" w:line="276"/>
              <w:jc w:val="left"/>
            </w:pPr>
            <w:r>
              <w:rPr>
                <w:rFonts w:ascii="Times New Roman" w:hAnsi="Times New Roman" w:cs="Times New Roman" w:eastAsia="Times New Roman"/>
                <w:b w:val="false"/>
                <w:sz w:val="26"/>
              </w:rPr>
              <w:t>Văn bản số 1485/NHCS-TDSV</w:t>
            </w:r>
          </w:p>
        </w:tc>
        <w:tc>
          <w:p/>
          <w:p>
            <w:pPr>
              <w:spacing w:after="0" w:before="0" w:lineRule="auto" w:line="276"/>
              <w:jc w:val="left"/>
            </w:pPr>
            <w:r>
              <w:rPr>
                <w:rFonts w:ascii="Times New Roman" w:hAnsi="Times New Roman" w:cs="Times New Roman" w:eastAsia="Times New Roman"/>
                <w:b w:val="false"/>
                <w:sz w:val="26"/>
              </w:rPr>
              <w:t>29-03-2018</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giấy chứng nhận đăng ký doanh nghiệp theo quy định của pháp luật;
- Có dự án vay vốn phù hợp với ngành nghề đăng ký kinh doanh đã được thông báo công khai trên Cổng thông tin Quốc gia về đăng ký doanh nghiệp;
- Có tài sản bảo đảm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2026-05-22T16:21:43Z</dcterms:created>
  <dc:creator>Apache POI</dc:creator>
</cp:coreProperties>
</file>