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phép tiến hành công việc bức xạ (trừ thiết bị X-quang chẩn đoán trong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có yêu câu cấp lại giấy phép tiến hành công việc bức xạ nộp hồ sơ cho Cục ATBXHN.</w:t>
      </w:r>
    </w:p>
    <w:p>
      <w:pPr>
        <w:spacing w:after="0" w:before="0" w:lineRule="auto" w:line="276"/>
        <w:jc w:val="both"/>
      </w:pPr>
      <w:r>
        <w:rPr>
          <w:rFonts w:ascii="Times New Roman" w:hAnsi="Times New Roman" w:cs="Times New Roman" w:eastAsia="Times New Roman"/>
          <w:b w:val="false"/>
          <w:sz w:val="26"/>
        </w:rPr>
        <w:t>Bước 2: Cục ATBXHN xem xét hồ sơ và tổ chức thẩm định:
+ Nếu đủ điều kiện theo quy định hiện hành, Bộ Khoa học và Công nghệ hoặc Cục ATBXHN cấp giấy phép tiến hành công việc bức xạ (cấp lại).
+ Trong trường hợp không cấp giấy phép, Bộ Khoa học và Công nghệ hoặc Cục ATBXHN trả lời bằng văn bản và nêu rõ lý do.</w:t>
      </w:r>
    </w:p>
    <w:p>
      <w:pPr>
        <w:spacing w:after="0" w:before="0" w:lineRule="auto" w:line="276"/>
        <w:jc w:val="both"/>
      </w:pPr>
      <w:r>
        <w:rPr>
          <w:rFonts w:ascii="Times New Roman" w:hAnsi="Times New Roman" w:cs="Times New Roman" w:eastAsia="Times New Roman"/>
          <w:b w:val="false"/>
          <w:sz w:val="26"/>
        </w:rPr>
        <w:t>Bước 3: Bộ KHCN/Cục ATBXHN cấp Giấy phép tiến hành công việc bức xạ.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w:t>
            </w:r>
          </w:p>
        </w:tc>
        <w:tc>
          <w:p/>
          <w:p>
            <w:pPr>
              <w:spacing w:after="0" w:before="0" w:lineRule="auto" w:line="276"/>
              <w:jc w:val="left"/>
            </w:pPr>
            <w:r>
              <w:rPr>
                <w:rFonts w:ascii="Times New Roman" w:hAnsi="Times New Roman" w:cs="Times New Roman" w:eastAsia="Times New Roman"/>
                <w:b w:val="false"/>
                <w:sz w:val="26"/>
              </w:rPr>
              <w:t>n  ngh cp li giy phép tin hành công vic bc 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của cơ quan công an về việc khai báo mất giấy phép và giấy biên nhận của cơ quan báo, đài về việc nhận đăng thông báo mất giấy phép khi đề nghị cấp lại giấy phép do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 khi đề nghị cấp lại giấy phép do bị rách, nát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18/2008/QH12</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08/2010/TT-BKHCN</w:t>
            </w:r>
          </w:p>
        </w:tc>
        <w:tc>
          <w:p/>
          <w:p>
            <w:pPr>
              <w:spacing w:after="0" w:before="0" w:lineRule="auto" w:line="276"/>
              <w:jc w:val="left"/>
            </w:pPr>
            <w:r>
              <w:rPr>
                <w:rFonts w:ascii="Times New Roman" w:hAnsi="Times New Roman" w:cs="Times New Roman" w:eastAsia="Times New Roman"/>
                <w:b w:val="false"/>
                <w:sz w:val="26"/>
              </w:rPr>
              <w:t>Thông tư 08/2010/TT-BKHCN</w:t>
            </w:r>
          </w:p>
        </w:tc>
        <w:tc>
          <w:p/>
          <w:p>
            <w:pPr>
              <w:spacing w:after="0" w:before="0" w:lineRule="auto" w:line="276"/>
              <w:jc w:val="left"/>
            </w:pPr>
            <w:r>
              <w:rPr>
                <w:rFonts w:ascii="Times New Roman" w:hAnsi="Times New Roman" w:cs="Times New Roman" w:eastAsia="Times New Roman"/>
                <w:b w:val="false"/>
                <w:sz w:val="26"/>
              </w:rPr>
              <w:t>22-07-2010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Thông tư 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mất giấy giấy phép, tổ chức, cá nhân được cấp phải khai báo ngay với cơ quan công an nơi mất, cơ quan cấp giấy phép và thông báo trên phương tiện thông tin đại chúng. Sau 30 ngày kể từ ngày thông báo, nếu tổ chức, cá nhân đã được cấp giấy phép không tìm được, thì đề nghị cơ quan có thẩm quyền cấp lại giấy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2026-05-22T16:54:05Z</dcterms:created>
  <dc:creator>Apache POI</dc:creator>
</cp:coreProperties>
</file>