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phép cho người và phương tiện dân sự Việt Nam vào hoạt động trong vùng đất cấm.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công trình quốc phòng và khu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trước 04 (bốn) ngày, tính đến ngày người và phương tiện dự kiến vào hoạt động trong vùng đất cấm, người làm thủ tục lập 01 bộ hồ sơ theo quy định tại Điểm a Khoản 2 Điều 26 Quy chế đảm bảo an ninh, an toàn Căn cứ quân sự Cam Ranh ban hành kèm theo Quyết định số 44/2015/QO-TTg ngày 22 tháng 9 năm 2015 của Thủ tướng Chính phủ gửi trực tiếp đến Phòng Tham mưu/Bộ Tư lệnh Vùng 4 Hải quân.</w:t>
      </w:r>
    </w:p>
    <w:p>
      <w:pPr>
        <w:spacing w:after="0" w:before="0" w:lineRule="auto" w:line="276"/>
        <w:jc w:val="both"/>
      </w:pPr>
      <w:r>
        <w:rPr>
          <w:rFonts w:ascii="Times New Roman" w:hAnsi="Times New Roman" w:cs="Times New Roman" w:eastAsia="Times New Roman"/>
          <w:b w:val="false"/>
          <w:sz w:val="26"/>
        </w:rPr>
        <w:t>Bước 2. Chậm nhất 03 (ba) ngày làm việc, kể từ ngày nhận được hồ sơ hợp lệ, Phòng Tham mưu/Bộ Tư lệnh Vùng 4 Hải quân có trách nhiệm kiểm tra trình Tham mưu trưởng Vùng 4 Hải quân ký cấp giấy ra, vào theo Mẫu số 9 bản hành kèm theo Quy chế đảm bảo an ninh, an toàn Căn cứ quân sự Cam Ranh bản hành kèm theo Quyết định số 44/2015/QĐ-TTg ngày 22 tháng 9 năm 2015 của Thu tướng Chính phủ và gửi trực tiếp đến người làm thủ tục.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gửi hồ sơ trực tiếp đến Phòng Tham mưu/Bộ Tư lệnh Vùng 4 Hải quân.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gửi hồ sơ trực tiếp đến Phòng Tham mưu/Bộ Tư lệnh Vùng 4 Hải quân.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phép cho người và phương tiện dân sự Việt Nam vào hoạt động trong vùng đất cấm theo Mẫu số 5, 6 ban hành kèm theo Quy chế đảm bảo an ninh, an toàn Căn cứ quân sự Cam Ranh ban hành kèm theo Quyết định số 44/2015/QĐ-TTg ngày 22 tháng 9 năm 2015 của Thủ tướng Chính phủ;</w:t>
            </w:r>
          </w:p>
        </w:tc>
        <w:tc>
          <w:p/>
          <w:p>
            <w:pPr>
              <w:spacing w:after="0" w:before="0" w:lineRule="auto" w:line="276"/>
              <w:jc w:val="left"/>
            </w:pPr>
            <w:r>
              <w:rPr>
                <w:rFonts w:ascii="Times New Roman" w:hAnsi="Times New Roman" w:cs="Times New Roman" w:eastAsia="Times New Roman"/>
                <w:b w:val="false"/>
                <w:sz w:val="26"/>
              </w:rPr>
              <w:t>Mẫu số 5.doc</w:t>
            </w:r>
          </w:p>
          <w:p>
            <w:pPr>
              <w:spacing w:after="0" w:before="0" w:lineRule="auto" w:line="276"/>
              <w:jc w:val="left"/>
            </w:pPr>
            <w:r>
              <w:rPr>
                <w:rFonts w:ascii="Times New Roman" w:hAnsi="Times New Roman" w:cs="Times New Roman" w:eastAsia="Times New Roman"/>
                <w:b w:val="false"/>
                <w:sz w:val="26"/>
              </w:rPr>
              <w:t>Mẫu số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Giấy chứng minh nhân dân, Giấy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theo Mẫu số 7, 8 ban hành kèm theo Quy chế đảm bảo an ninh, an toàn Căn cứ quân sự Cam Ranh ban hành kèm theo Quyết định số 44/2015/QĐ-TTg ngày 22 tháng 9 năm 201 5 của Thủ tướng Chính phủ.</w:t>
            </w:r>
          </w:p>
        </w:tc>
        <w:tc>
          <w:p/>
          <w:p>
            <w:pPr>
              <w:spacing w:after="0" w:before="0" w:lineRule="auto" w:line="276"/>
              <w:jc w:val="left"/>
            </w:pPr>
            <w:r>
              <w:rPr>
                <w:rFonts w:ascii="Times New Roman" w:hAnsi="Times New Roman" w:cs="Times New Roman" w:eastAsia="Times New Roman"/>
                <w:b w:val="false"/>
                <w:sz w:val="26"/>
              </w:rPr>
              <w:t>Mẫu số 8.doc</w:t>
            </w:r>
          </w:p>
          <w:p>
            <w:pPr>
              <w:spacing w:after="0" w:before="0" w:lineRule="auto" w:line="276"/>
              <w:jc w:val="left"/>
            </w:pPr>
            <w:r>
              <w:rPr>
                <w:rFonts w:ascii="Times New Roman" w:hAnsi="Times New Roman" w:cs="Times New Roman" w:eastAsia="Times New Roman"/>
                <w:b w:val="false"/>
                <w:sz w:val="26"/>
              </w:rPr>
              <w:t>Mẫu số 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Quân chủng Hải quân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Quân chủng Hải quân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ra, vào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44/2015/QĐ-TTg</w:t>
            </w:r>
          </w:p>
        </w:tc>
        <w:tc>
          <w:p/>
          <w:p>
            <w:pPr>
              <w:spacing w:after="0" w:before="0" w:lineRule="auto" w:line="276"/>
              <w:jc w:val="left"/>
            </w:pPr>
            <w:r>
              <w:rPr>
                <w:rFonts w:ascii="Times New Roman" w:hAnsi="Times New Roman" w:cs="Times New Roman" w:eastAsia="Times New Roman"/>
                <w:b w:val="false"/>
                <w:sz w:val="26"/>
              </w:rPr>
              <w:t>Quyết định 44/2015/QĐ-TTg</w:t>
            </w:r>
          </w:p>
        </w:tc>
        <w:tc>
          <w:p/>
          <w:p>
            <w:pPr>
              <w:spacing w:after="0" w:before="0" w:lineRule="auto" w:line="276"/>
              <w:jc w:val="left"/>
            </w:pPr>
            <w:r>
              <w:rPr>
                <w:rFonts w:ascii="Times New Roman" w:hAnsi="Times New Roman" w:cs="Times New Roman" w:eastAsia="Times New Roman"/>
                <w:b w:val="false"/>
                <w:sz w:val="26"/>
              </w:rPr>
              <w:t>22-09-2015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Pháp lệnh 32-L/CTN</w:t>
            </w:r>
          </w:p>
        </w:tc>
        <w:tc>
          <w:p/>
          <w:p>
            <w:pPr>
              <w:spacing w:after="0" w:before="0" w:lineRule="auto" w:line="276"/>
              <w:jc w:val="left"/>
            </w:pPr>
            <w:r>
              <w:rPr>
                <w:rFonts w:ascii="Times New Roman" w:hAnsi="Times New Roman" w:cs="Times New Roman" w:eastAsia="Times New Roman"/>
                <w:b w:val="false"/>
                <w:sz w:val="26"/>
              </w:rPr>
              <w:t>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04/CP</w:t>
            </w:r>
          </w:p>
        </w:tc>
        <w:tc>
          <w:p/>
          <w:p>
            <w:pPr>
              <w:spacing w:after="0" w:before="0" w:lineRule="auto" w:line="276"/>
              <w:jc w:val="left"/>
            </w:pPr>
            <w:r>
              <w:rPr>
                <w:rFonts w:ascii="Times New Roman" w:hAnsi="Times New Roman" w:cs="Times New Roman" w:eastAsia="Times New Roman"/>
                <w:b w:val="false"/>
                <w:sz w:val="26"/>
              </w:rPr>
              <w:t>Ban hành Quy chế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16-01-1995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33/2002/NĐ-CP</w:t>
            </w:r>
          </w:p>
        </w:tc>
        <w:tc>
          <w:p/>
          <w:p>
            <w:pPr>
              <w:spacing w:after="0" w:before="0" w:lineRule="auto" w:line="276"/>
              <w:jc w:val="left"/>
            </w:pPr>
            <w:r>
              <w:rPr>
                <w:rFonts w:ascii="Times New Roman" w:hAnsi="Times New Roman" w:cs="Times New Roman" w:eastAsia="Times New Roman"/>
                <w:b w:val="false"/>
                <w:sz w:val="26"/>
              </w:rPr>
              <w:t>Quy định chi tiết thi hành Pháp lệnh Bảo vệ bí mật nhà nước</w:t>
            </w:r>
          </w:p>
        </w:tc>
        <w:tc>
          <w:p/>
          <w:p>
            <w:pPr>
              <w:spacing w:after="0" w:before="0" w:lineRule="auto" w:line="276"/>
              <w:jc w:val="left"/>
            </w:pPr>
            <w:r>
              <w:rPr>
                <w:rFonts w:ascii="Times New Roman" w:hAnsi="Times New Roman" w:cs="Times New Roman" w:eastAsia="Times New Roman"/>
                <w:b w:val="false"/>
                <w:sz w:val="26"/>
              </w:rPr>
              <w:t>28-03-2002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06/2003/QH11</w:t>
            </w:r>
          </w:p>
        </w:tc>
        <w:tc>
          <w:p/>
          <w:p>
            <w:pPr>
              <w:spacing w:after="0" w:before="0" w:lineRule="auto" w:line="276"/>
              <w:jc w:val="left"/>
            </w:pPr>
            <w:r>
              <w:rPr>
                <w:rFonts w:ascii="Times New Roman" w:hAnsi="Times New Roman" w:cs="Times New Roman" w:eastAsia="Times New Roman"/>
                <w:b w:val="false"/>
                <w:sz w:val="26"/>
              </w:rPr>
              <w:t>Luật biên giới quốc gia</w:t>
            </w:r>
          </w:p>
        </w:tc>
        <w:tc>
          <w:p/>
          <w:p>
            <w:pPr>
              <w:spacing w:after="0" w:before="0" w:lineRule="auto" w:line="276"/>
              <w:jc w:val="left"/>
            </w:pPr>
            <w:r>
              <w:rPr>
                <w:rFonts w:ascii="Times New Roman" w:hAnsi="Times New Roman" w:cs="Times New Roman" w:eastAsia="Times New Roman"/>
                <w:b w:val="false"/>
                <w:sz w:val="26"/>
              </w:rPr>
              <w:t>17-06-2003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32/2004/QH11</w:t>
            </w:r>
          </w:p>
        </w:tc>
        <w:tc>
          <w:p/>
          <w:p>
            <w:pPr>
              <w:spacing w:after="0" w:before="0" w:lineRule="auto" w:line="276"/>
              <w:jc w:val="left"/>
            </w:pPr>
            <w:r>
              <w:rPr>
                <w:rFonts w:ascii="Times New Roman" w:hAnsi="Times New Roman" w:cs="Times New Roman" w:eastAsia="Times New Roman"/>
                <w:b w:val="false"/>
                <w:sz w:val="26"/>
              </w:rPr>
              <w:t>Luật an ninh quốc gia</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40/2005/QH11</w:t>
            </w:r>
          </w:p>
        </w:tc>
        <w:tc>
          <w:p/>
          <w:p>
            <w:pPr>
              <w:spacing w:after="0" w:before="0" w:lineRule="auto" w:line="276"/>
              <w:jc w:val="left"/>
            </w:pPr>
            <w:r>
              <w:rPr>
                <w:rFonts w:ascii="Times New Roman" w:hAnsi="Times New Roman" w:cs="Times New Roman" w:eastAsia="Times New Roman"/>
                <w:b w:val="false"/>
                <w:sz w:val="26"/>
              </w:rPr>
              <w:t>Luật Hàng hải quốc gia</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94/2007/NĐ-CP</w:t>
            </w:r>
          </w:p>
        </w:tc>
        <w:tc>
          <w:p/>
          <w:p>
            <w:pPr>
              <w:spacing w:after="0" w:before="0" w:lineRule="auto" w:line="276"/>
              <w:jc w:val="left"/>
            </w:pPr>
            <w:r>
              <w:rPr>
                <w:rFonts w:ascii="Times New Roman" w:hAnsi="Times New Roman" w:cs="Times New Roman" w:eastAsia="Times New Roman"/>
                <w:b w:val="false"/>
                <w:sz w:val="26"/>
              </w:rPr>
              <w:t>Về quản lý hoạt động bay</w:t>
            </w:r>
          </w:p>
        </w:tc>
        <w:tc>
          <w:p/>
          <w:p>
            <w:pPr>
              <w:spacing w:after="0" w:before="0" w:lineRule="auto" w:line="276"/>
              <w:jc w:val="left"/>
            </w:pPr>
            <w:r>
              <w:rPr>
                <w:rFonts w:ascii="Times New Roman" w:hAnsi="Times New Roman" w:cs="Times New Roman" w:eastAsia="Times New Roman"/>
                <w:b w:val="false"/>
                <w:sz w:val="26"/>
              </w:rPr>
              <w:t>04-06-2007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50/2008/NĐ-CP</w:t>
            </w:r>
          </w:p>
        </w:tc>
        <w:tc>
          <w:p/>
          <w:p>
            <w:pPr>
              <w:spacing w:after="0" w:before="0" w:lineRule="auto" w:line="276"/>
              <w:jc w:val="left"/>
            </w:pPr>
            <w:r>
              <w:rPr>
                <w:rFonts w:ascii="Times New Roman" w:hAnsi="Times New Roman" w:cs="Times New Roman" w:eastAsia="Times New Roman"/>
                <w:b w:val="false"/>
                <w:sz w:val="26"/>
              </w:rPr>
              <w:t>VỀ QUẢN LÝ, BẢO VỆ AN NINH, TRẬT TỰ TẠI   CỬA KHẨU CẢNG BIỂN</w:t>
            </w:r>
          </w:p>
        </w:tc>
        <w:tc>
          <w:p/>
          <w:p>
            <w:pPr>
              <w:spacing w:after="0" w:before="0" w:lineRule="auto" w:line="276"/>
              <w:jc w:val="left"/>
            </w:pPr>
            <w:r>
              <w:rPr>
                <w:rFonts w:ascii="Times New Roman" w:hAnsi="Times New Roman" w:cs="Times New Roman" w:eastAsia="Times New Roman"/>
                <w:b w:val="false"/>
                <w:sz w:val="26"/>
              </w:rPr>
              <w:t>21-04-2008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21/2012/NĐ-CP</w:t>
            </w:r>
          </w:p>
        </w:tc>
        <w:tc>
          <w:p/>
          <w:p>
            <w:pPr>
              <w:spacing w:after="0" w:before="0" w:lineRule="auto" w:line="276"/>
              <w:jc w:val="left"/>
            </w:pPr>
            <w:r>
              <w:rPr>
                <w:rFonts w:ascii="Times New Roman" w:hAnsi="Times New Roman" w:cs="Times New Roman" w:eastAsia="Times New Roman"/>
                <w:b w:val="false"/>
                <w:sz w:val="26"/>
              </w:rPr>
              <w:t>Về quản lý cảng biển và luồng hàng hải</w:t>
            </w:r>
          </w:p>
        </w:tc>
        <w:tc>
          <w:p/>
          <w:p>
            <w:pPr>
              <w:spacing w:after="0" w:before="0" w:lineRule="auto" w:line="276"/>
              <w:jc w:val="left"/>
            </w:pPr>
            <w:r>
              <w:rPr>
                <w:rFonts w:ascii="Times New Roman" w:hAnsi="Times New Roman" w:cs="Times New Roman" w:eastAsia="Times New Roman"/>
                <w:b w:val="false"/>
                <w:sz w:val="26"/>
              </w:rPr>
              <w:t>21-03-2012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18/2012/QH13</w:t>
            </w:r>
          </w:p>
        </w:tc>
        <w:tc>
          <w:p/>
          <w:p>
            <w:pPr>
              <w:spacing w:after="0" w:before="0" w:lineRule="auto" w:line="276"/>
              <w:jc w:val="left"/>
            </w:pPr>
            <w:r>
              <w:rPr>
                <w:rFonts w:ascii="Times New Roman" w:hAnsi="Times New Roman" w:cs="Times New Roman" w:eastAsia="Times New Roman"/>
                <w:b w:val="false"/>
                <w:sz w:val="26"/>
              </w:rPr>
              <w:t>Biển Việt Nam</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104/2012/NĐ-CP</w:t>
            </w:r>
          </w:p>
        </w:tc>
        <w:tc>
          <w:p/>
          <w:p>
            <w:pPr>
              <w:spacing w:after="0" w:before="0" w:lineRule="auto" w:line="276"/>
              <w:jc w:val="left"/>
            </w:pPr>
            <w:r>
              <w:rPr>
                <w:rFonts w:ascii="Times New Roman" w:hAnsi="Times New Roman" w:cs="Times New Roman" w:eastAsia="Times New Roman"/>
                <w:b w:val="false"/>
                <w:sz w:val="26"/>
              </w:rPr>
              <w:t>Quy định đối với tàu quân sự nước ngoài đến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05-12-2012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161/2003/NĐ-CP</w:t>
            </w:r>
          </w:p>
        </w:tc>
        <w:tc>
          <w:p/>
          <w:p>
            <w:pPr>
              <w:spacing w:after="0" w:before="0" w:lineRule="auto" w:line="276"/>
              <w:jc w:val="left"/>
            </w:pPr>
            <w:r>
              <w:rPr>
                <w:rFonts w:ascii="Times New Roman" w:hAnsi="Times New Roman" w:cs="Times New Roman" w:eastAsia="Times New Roman"/>
                <w:b w:val="false"/>
                <w:sz w:val="26"/>
              </w:rPr>
              <w:t>Về Quy chế khu vực biên giới biển</w:t>
            </w:r>
          </w:p>
        </w:tc>
        <w:tc>
          <w:p/>
          <w:p>
            <w:pPr>
              <w:spacing w:after="0" w:before="0" w:lineRule="auto" w:line="276"/>
              <w:jc w:val="left"/>
            </w:pPr>
            <w:r>
              <w:rPr>
                <w:rFonts w:ascii="Times New Roman" w:hAnsi="Times New Roman" w:cs="Times New Roman" w:eastAsia="Times New Roman"/>
                <w:b w:val="false"/>
                <w:sz w:val="26"/>
              </w:rPr>
              <w:t>18-12-2003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