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4090/QĐ-NHNN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đại lý đổi ngoại tệ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kinh tế có nhu cầu thực hiện hoạt động đại lý đổi ngoại tệ lập 01 bộ hồ sơ theo quy định gửi Ngân hàng Nhà nước chi nhánh Khu vực trên địa bàn nơi tổ chức kinh tế đặt đại lý đổi ngoại tệ. 
Thời hạn kiểm tra tính đầy đủ, chính xác của hồ sơ là 3 ngày làm việc kể từ khi Hệ thống thông tin giải quyết thủ tục hành chính Ngân hàng Nhà nước hoặc Bộ phận Một cửa Ngân hàng Nhà nước chi nhánh khu vực nhận hồ sơ.
+ Bước 2: Trong thời hạn 20 ngày làm việc kể từ ngày tiếp nhận đủ hồ sơ hợp lệ, Ngân hàng Nhà nước chi nhánh Khu vực trên địa bàn xem xét, cấp Giấy chứng nhận đăng ký đại lý đổi ngoại tệ (theo mẫu tại Phụ lục 2 thuộc Phụ lục II ban hành kèm theo Thông tư số 75/2025/TT-NHNN ngày 31/12/2025). Trường hợp từ chối, Ngân hàng Nhà nước chi nhánh Khu vực trên địa bàn có văn bản từ chối cấp Giấy chứng nhận và nêu rõ lý do.
Trường hợp hồ sơ chưa đủ điều kiện giải quyết, trong thời hạn 10 ngày làm việc kể từ ngày tiếp nhận hồ sơ, Ngân hàng Nhà nước chi nhánh Khu vực trên địa bàn có văn bản yêu cầu tổ chức bổ sung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Ngân hàng Nhà nước tiếp nhận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Ngân hàng Nhà nước tiếp nhận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Ngân hàng Nhà nước tiếp nhận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chấp thuận đăng ký đại lý đổi ngoại tệ (theo mẫu tại Phụ lục 1 thuộc Phụ lục II ban hành kèm theo Thông tư số 75/2025/TT-NHNN ngày 31/12/2025);</w:t>
            </w:r>
          </w:p>
        </w:tc>
        <w:tc>
          <w:p/>
          <w:p>
            <w:pPr>
              <w:spacing w:after="0" w:before="0" w:lineRule="auto" w:line="276"/>
              <w:jc w:val="left"/>
            </w:pPr>
            <w:r>
              <w:rPr>
                <w:rFonts w:ascii="Times New Roman" w:hAnsi="Times New Roman" w:cs="Times New Roman" w:eastAsia="Times New Roman"/>
                <w:b w:val="false"/>
                <w:sz w:val="26"/>
              </w:rPr>
              <w:t>Phlc1PLIIThngt75.docx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cam kết của tổ chức kinh tế kèm bản sao giấy tờ chứng minh (nếu có) về việc đặt đại lý đổi ngoại tệ tại địa điểm theo quy định của Chính phủ về Điều kiện đối với tổ chức kinh tế thực hiện hoạt động đại lý đổi ngoại tệ; cam kết của tổ chức kinh tế về việc chỉ làm đại lý đổi ngoại tệ cho một tổ chức tín dụng được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Báo cáo về việc tổ chức kinh tế trang bị đầy đủ bảng thông báo tỷ giá công khai, bảng hiệu ghi tên tổ chức tín dụng ủy quyền và tên đại lý đổi ngoại tệ tại nơi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Quy trình nghiệp vụ đổi ngoại tệ bao gồm các nội dung chính sau: có biện pháp đảm bảo an ninh, an toàn trong quá trình đổi ngoại tệ; việc ghi chép, xuất hóa đơn cho khách hàng, lưu giữ chứng từ, hóa đơn, sổ sách; chế độ hạch toán, kế toán; chế độ báo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Hợp đồng đại lý đổi ngoại tệ ký với tổ chức tín dụng ủy quyền, bao gồm những nội dung chính sau: (i) Tên, địa chỉ đặt trụ sở chính, số điện thoại cần liên hệ của các bên ký kết hợp đồng; (ii) Tên, địa chỉ các đại lý đổi ngoại tệ; (iii) Quy định đại lý đổi ngoại tệ chỉ được mua ngoại tệ bằng tiền mặt (trừ các đại lý đặt ở khu cách ly tại các cửa khẩu quốc tế) và bán lại số ngoại tệ tiền mặt đổi được (ngoài số ngoại tệ tồn quỹ được để lại) cho tổ chức tín dụng ủy quyền; (iv) Quy định về nguyên tắc xác định tỷ giá mua, bán (đối với đại lý đặt ở các khu cách ly tại các cửa khẩu quốc tế) đối với khách hàng và tỷ giá bán lại ngoại tệ tiền mặt cho tổ chức tín dụng ủy quyền phù hợp với quy định về quản lý ngoại hối; quy định các loại phí hoa hồng đại lý (nếu có); (v) Quyền lợi và nghĩa vụ của các bên tham gia hợp đồng, trong đó quy định rõ đại lý đổi ngoại tệ phải thực hiện đúng quy trình nghiệp vụ đổi ngoại tệ; quy định định kỳ tổ chức tín dụng ủy quyền phải kiểm tra hoạt động của các đại lý để đảm bảo thực hiện đúng hợp đồng và các quy định của pháp luật; (vi) Thỏa thuận về mức tồn quỹ được để lại và thời hạn phải bán số ngoại tệ tiền mặt mua được cho tổ chức tín dụng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Khu vực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đại lý đổi ngoại tệ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21/2008/QĐ-NHNN</w:t>
            </w:r>
          </w:p>
        </w:tc>
        <w:tc>
          <w:p/>
          <w:p>
            <w:pPr>
              <w:spacing w:after="0" w:before="0" w:lineRule="auto" w:line="276"/>
              <w:jc w:val="left"/>
            </w:pPr>
            <w:r>
              <w:rPr>
                <w:rFonts w:ascii="Times New Roman" w:hAnsi="Times New Roman" w:cs="Times New Roman" w:eastAsia="Times New Roman"/>
                <w:b w:val="false"/>
                <w:sz w:val="26"/>
              </w:rPr>
              <w:t>Quyết định 21/2008/QĐ-NHNN</w:t>
            </w:r>
          </w:p>
        </w:tc>
        <w:tc>
          <w:p/>
          <w:p>
            <w:pPr>
              <w:spacing w:after="0" w:before="0" w:lineRule="auto" w:line="276"/>
              <w:jc w:val="left"/>
            </w:pPr>
            <w:r>
              <w:rPr>
                <w:rFonts w:ascii="Times New Roman" w:hAnsi="Times New Roman" w:cs="Times New Roman" w:eastAsia="Times New Roman"/>
                <w:b w:val="false"/>
                <w:sz w:val="26"/>
              </w:rPr>
              <w:t>11-07-2008</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	89/2016/NĐ-CP</w:t>
            </w:r>
          </w:p>
        </w:tc>
        <w:tc>
          <w:p/>
          <w:p>
            <w:pPr>
              <w:spacing w:after="0" w:before="0" w:lineRule="auto" w:line="276"/>
              <w:jc w:val="left"/>
            </w:pPr>
            <w:r>
              <w:rPr>
                <w:rFonts w:ascii="Times New Roman" w:hAnsi="Times New Roman" w:cs="Times New Roman" w:eastAsia="Times New Roman"/>
                <w:b w:val="false"/>
                <w:sz w:val="26"/>
              </w:rPr>
              <w:t>Nghị định 89/2016/NĐ-CP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	16/2019/NĐ-CP</w:t>
            </w:r>
          </w:p>
        </w:tc>
        <w:tc>
          <w:p/>
          <w:p>
            <w:pPr>
              <w:spacing w:after="0" w:before="0" w:lineRule="auto" w:line="276"/>
              <w:jc w:val="left"/>
            </w:pPr>
            <w:r>
              <w:rPr>
                <w:rFonts w:ascii="Times New Roman" w:hAnsi="Times New Roman" w:cs="Times New Roman" w:eastAsia="Times New Roman"/>
                <w:b w:val="false"/>
                <w:sz w:val="26"/>
              </w:rPr>
              <w:t>Nghị định 16/2019/NĐ-CP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Thông tư số 75/2025/TT-NHNN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quy định tại các văn bản quy phạm pháp luật trong lĩnh vực quản lý hoạt động cung ứng dịch vụ và sử dụng ngoại hối để thực thi phương án cắt giảm, đơn giản hóa thủ tục hành chính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địa điểm đặt đại lý đổi ngoại tệ tại một hoặc nhiều địa điểm theo quy định sau:
a) Cơ sở lưu trú du lịch đã được cơ quan quản lý nhà nước về du lịch xếp hạng từ 3 sao trở lên;
b) Cửa khẩu quốc tế (đường bộ, đường không, đường thủy);
c) Khu vui chơi giải trí có thưởng dành cho người nước ngoài được cấp phép theo quy định pháp luật;
d) Văn phòng bán vé của các hãng hàng không, hàng hải, du lịch của nước ngoài và văn phòng bán vé quốc tế của các hãng hàng không Việt Nam;
đ) Khu du lịch, trung tâm thương mại, siêu thị có khách nước ngoài tham quan, mua sắm.
2. Có quy trình nghiệp vụ đổi ngoại tệ, có biện pháp đảm bảo an ninh, an toàn trong quá trình đổi ngoại tệ; tại nơi giao dịch phải có bảng thông báo tỷ giá công khai, bảng hiệu ghi tên tổ chức tín dụng ủy quyền và tên đại lý đổi ngoại tệ.
3. Được tổ chức tín dụng được phép ủy quyền làm đại lý đổi ngoại tệ.
4. Một tổ chức kinh tế chỉ được làm đại lý đổi ngoại tệ cho một tổ chức tín dụng được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2026-05-06T16:16:56Z</dcterms:created>
  <dc:creator>Apache POI</dc:creator>
</cp:coreProperties>
</file>