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huấn luyện kỹ thuật an toàn tiền chất thuốc nổ thuộc thẩm quyền giải quyết của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chứng nhận bị mất, sai sót hoặc hư hỏng, tổ chức hoạt động tiền chất thuốc nổ lập hồ sơ đề nghị gửi Tổng cục Công nghiệp quốc phòng (số 28A, Điện Biên Phủ, Ba Đình, Hà Nội) cấp lại Giấy chứng nhận huấn luyện kỹ thuật an toàn tiền chất thuốc nổ hoặc nộp trực tuyến trên Cổng Dịch vụ công Bộ Quốc phòng;</w:t>
      </w:r>
    </w:p>
    <w:p>
      <w:pPr>
        <w:spacing w:after="0" w:before="0" w:lineRule="auto" w:line="276"/>
        <w:jc w:val="both"/>
      </w:pPr>
      <w:r>
        <w:rPr>
          <w:rFonts w:ascii="Times New Roman" w:hAnsi="Times New Roman" w:cs="Times New Roman" w:eastAsia="Times New Roman"/>
          <w:b w:val="false"/>
          <w:sz w:val="26"/>
        </w:rPr>
        <w:t>Tổng cục Công nghiệp quốc phòng tổ chức xem xét tính hợp lệ của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đầy đủ hồ sơ hợp lệ, Tổng cục Công nghiệp quốc phòng thực hiện cấp lại Giấy chứng nhận huấn luyện kỹ thuật an toàn tiền chất thuốc nổ.</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hồ sơ hợp lệ;
- Thời hạn của Giấy chứng nhận huấn luyện kỹ thuật an toàn tiền chất thuốc nổ: Theo thời hạn của Giấy chứng nhận huấn luyện kỹ thuật an toàn tiền chất thuốc nổ đã cấp.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hồ sơ hợp lệ;
- Thời hạn của Giấy chứng nhận huấn luyện kỹ thuật an toàn tiền chất thuốc nổ: Theo thời hạn của Giấy chứng nhận huấn luyện kỹ thuật an toàn tiền chất thuốc nổ đã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hồ sơ hợp lệ;
- Thời hạn của Giấy chứng nhận huấn luyện kỹ thuật an toàn tiền chất thuốc nổ: Theo thời hạn của Giấy chứng nhận huấn luyện kỹ thuật an toàn tiền chất thuốc nổ đã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kiểm tra, cấp Giấy chứng nhận huấn luyện kỹ thuật an toàn tiền chất thuốc nổ (theo mẫu; 01 bản chính);</w:t>
            </w:r>
          </w:p>
        </w:tc>
        <w:tc>
          <w:p/>
          <w:p>
            <w:pPr>
              <w:spacing w:after="0" w:before="0" w:lineRule="auto" w:line="276"/>
              <w:jc w:val="left"/>
            </w:pPr>
            <w:r>
              <w:rPr>
                <w:rFonts w:ascii="Times New Roman" w:hAnsi="Times New Roman" w:cs="Times New Roman" w:eastAsia="Times New Roman"/>
                <w:b w:val="false"/>
                <w:sz w:val="26"/>
              </w:rPr>
              <w:t>Mẫu số 01 - Giấy đề nghị.doc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được cấp lại Giấy chứng nhận huấn luyện kỹ thuật an toàn (theo mẫu; 01 bản chính);</w:t>
            </w:r>
          </w:p>
        </w:tc>
        <w:tc>
          <w:p/>
          <w:p>
            <w:pPr>
              <w:spacing w:after="0" w:before="0" w:lineRule="auto" w:line="276"/>
              <w:jc w:val="left"/>
            </w:pPr>
            <w:r>
              <w:rPr>
                <w:rFonts w:ascii="Times New Roman" w:hAnsi="Times New Roman" w:cs="Times New Roman" w:eastAsia="Times New Roman"/>
                <w:b w:val="false"/>
                <w:sz w:val="26"/>
              </w:rPr>
              <w:t>Mẫu số 02 - Danh sách.doc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(3×4 cm) của người trong danh sách đề nghị huấn luyện, kiểm tra, cấp Giấy chứng nhận huấn luyện kỹ thuật an toàn tiền chất thuốc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Công nghiệp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28A Điện Biên Phủ,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tiền chất thuốc nổ.</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Quản lý, sử dụng vũ khí, vật liệu nổ và công cụ hỗ trợ về vật liệu nổ công nghiệp và tiền chất thuốc nổ</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huấn luyện kỹ thuật an toàn tiền chất thuốc nổ đã được cấp bị mất, sai sót hoặc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2026-05-23T16:45:46Z</dcterms:created>
  <dc:creator>Apache POI</dc:creator>
</cp:coreProperties>
</file>