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1.005442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753/QĐ-BKHCN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văn bản xác nhận thông báo hoạt động bưu chính khi bị mất hoặc hư hỏng không sử dụng được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Bưu chính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hợp văn bản xác nhận thông báo hoạt động bưu chính chính bị mất hoặc hư hỏng không sử dụng được và doanh nghiệp, tổ chức có nhu cầu được cấp lại thì gửi hồ sơ đến Sở Khoa học và Công nghệ.
- Sau khi hồ sơ được tiếp nhận, Sở Khoa học và Công nghệ cấp lại giấy phép bưu chính trong thời hạn 07 ngày làm việc kể từ ngày nhận được hồ sơ đầy đủ, đúng quy định.
- Kết quả giải quyết thủ tục cấp lại văn bản xác nhận thông báo hoạt động bưu chính khi bị mất hoặc hư hỏng không sử dụng được được trả trực tiếp hoặc qua dịch vụ bưu chính công ích.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500.000 Đồng</w:t>
              <w:t xml:space="preserve"> (Trường hợp cấp lại Văn bản xác nhận thông báo hoạt động bưu chính nội tỉnh khi bị mất hoặc Trường hợp cấp lại Văn bản xác nhận thông báo hoạt động bưu chính nội tỉnh khi bị mất hoặc hư hỏng không sử dụng đượchư hỏng không sử dụng được)</w:t>
              <w:br/>
              <w:t>File đính kèm: 25-btc.signed.pdf</w:t>
            </w:r>
          </w:p>
          <w:p>
            <w:pPr>
              <w:spacing w:after="0" w:before="0" w:lineRule="auto" w:line="276"/>
              <w:jc w:val="left"/>
            </w:pPr>
            <w:r>
              <w:rPr>
                <w:rFonts w:ascii="Times New Roman" w:hAnsi="Times New Roman" w:cs="Times New Roman" w:eastAsia="Times New Roman"/>
                <w:b w:val="false"/>
                <w:sz w:val="26"/>
              </w:rPr>
              <w:t>Phí : 500.000 Đồng</w:t>
              <w:t xml:space="preserve"> (Trường hợp cấp lại Văn bản xác nhận thông báo hoạt động bưu chính cho chi nhánh, văn phòng đại diện của doanh nghiệp cung ứng dịch vụ bưu chính được thành lập theo pháp luật Việt Nam khi bị mất hoặc hư hỏng không sử dụng được)</w:t>
              <w:br/>
              <w:t>File đính kèm: 25-btc.signed.pdf</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500.000 Đồng</w:t>
              <w:t xml:space="preserve"> (Trường hợp cấp lại Văn bản xác nhận thông báo hoạt động bưu chính nội tỉnh khi bị mất hoặc Trường hợp cấp lại Văn bản xác nhận thông báo hoạt động bưu chính nội tỉnh khi bị mất hoặc hư hỏng không sử dụng đượchư hỏng không sử dụng được)</w:t>
              <w:br/>
              <w:t>File đính kèm: 25-btc.signed.pdf</w:t>
            </w:r>
          </w:p>
          <w:p>
            <w:pPr>
              <w:spacing w:after="0" w:before="0" w:lineRule="auto" w:line="276"/>
              <w:jc w:val="left"/>
            </w:pPr>
            <w:r>
              <w:rPr>
                <w:rFonts w:ascii="Times New Roman" w:hAnsi="Times New Roman" w:cs="Times New Roman" w:eastAsia="Times New Roman"/>
                <w:b w:val="false"/>
                <w:sz w:val="26"/>
              </w:rPr>
              <w:t>Phí : 500.000 Đồng</w:t>
              <w:t xml:space="preserve"> (Trường hợp cấp lại Văn bản xác nhận thông báo hoạt động bưu chính cho chi nhánh, văn phòng đại diện của doanh nghiệp cung ứng dịch vụ bưu chính được thành lập theo pháp luật Việt Nam khi bị mất hoặc hư hỏng không sử dụng được)</w:t>
              <w:br/>
              <w:t>File đính kèm: 25-btc.signed.pdf</w:t>
            </w:r>
          </w:p>
        </w:tc>
        <w:tc>
          <w:p/>
          <w:p>
            <w:pPr>
              <w:spacing w:after="0" w:before="0" w:lineRule="auto" w:line="276"/>
              <w:jc w:val="left"/>
            </w:pPr>
            <w:r>
              <w:rPr>
                <w:rFonts w:ascii="Times New Roman" w:hAnsi="Times New Roman" w:cs="Times New Roman" w:eastAsia="Times New Roman"/>
                <w:b w:val="false"/>
                <w:sz w:val="26"/>
              </w:rPr>
              <w:t>Nộp trực tuyến qua cổng dịch vụ công: Cổng dịch vụ công của Sở Thông tin và Truyền thông hoặc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500.000 Đồng</w:t>
              <w:t xml:space="preserve"> (Trường hợp cấp lại Văn bản xác nhận thông báo hoạt động bưu chính nội tỉnh khi bị mất hoặc Trường hợp cấp lại Văn bản xác nhận thông báo hoạt động bưu chính nội tỉnh khi bị mất hoặc hư hỏng không sử dụng đượchư hỏng không sử dụng được)</w:t>
              <w:br/>
              <w:t>File đính kèm: 25-btc.signed.pdf</w:t>
            </w:r>
          </w:p>
          <w:p>
            <w:pPr>
              <w:spacing w:after="0" w:before="0" w:lineRule="auto" w:line="276"/>
              <w:jc w:val="left"/>
            </w:pPr>
            <w:r>
              <w:rPr>
                <w:rFonts w:ascii="Times New Roman" w:hAnsi="Times New Roman" w:cs="Times New Roman" w:eastAsia="Times New Roman"/>
                <w:b w:val="false"/>
                <w:sz w:val="26"/>
              </w:rPr>
              <w:t>Phí : 500.000 Đồng</w:t>
              <w:t xml:space="preserve"> (Trường hợp cấp lại Văn bản xác nhận thông báo hoạt động bưu chính cho chi nhánh, văn phòng đại diện của doanh nghiệp cung ứng dịch vụ bưu chính được thành lập theo pháp luật Việt Nam khi bị mất hoặc hư hỏng không sử dụng được)</w:t>
              <w:br/>
              <w:t>File đính kèm: 25-btc.signed.pdf</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lại văn bản xác nhận thông báo hoạt động bưu chính</w:t>
            </w:r>
          </w:p>
        </w:tc>
        <w:tc>
          <w:p/>
          <w:p>
            <w:pPr>
              <w:spacing w:after="0" w:before="0" w:lineRule="auto" w:line="276"/>
              <w:jc w:val="left"/>
            </w:pPr>
            <w:r>
              <w:rPr>
                <w:rFonts w:ascii="Times New Roman" w:hAnsi="Times New Roman" w:cs="Times New Roman" w:eastAsia="Times New Roman"/>
                <w:b w:val="false"/>
                <w:sz w:val="26"/>
              </w:rPr>
              <w:t>Mãu giay de nghi cap lai Văn ban XNTB.docx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Số lượng hồ sơ: 01 bộ là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tuyến qua cổng dịch vụ công: Cổng dịch vụ công của Sở Khoa học và Công nghệ hoặc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từ bản gốc của văn bản xác nhận thông báo hoạt động bưu chính đã được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Luật Bưu chính số 49/2010/QH </w:t>
            </w:r>
          </w:p>
        </w:tc>
        <w:tc>
          <w:p/>
          <w:p>
            <w:pPr>
              <w:spacing w:after="0" w:before="0" w:lineRule="auto" w:line="276"/>
              <w:jc w:val="left"/>
            </w:pPr>
            <w:r>
              <w:rPr>
                <w:rFonts w:ascii="Times New Roman" w:hAnsi="Times New Roman" w:cs="Times New Roman" w:eastAsia="Times New Roman"/>
                <w:b w:val="false"/>
                <w:sz w:val="26"/>
              </w:rPr>
              <w:t>Luật Bưu chính số 49/2010/QH ngày 28/6/2010</w:t>
            </w:r>
          </w:p>
        </w:tc>
        <w:tc>
          <w:p/>
          <w:p>
            <w:pPr>
              <w:spacing w:after="0" w:before="0" w:lineRule="auto" w:line="276"/>
              <w:jc w:val="left"/>
            </w:pPr>
            <w:r>
              <w:rPr>
                <w:rFonts w:ascii="Times New Roman" w:hAnsi="Times New Roman" w:cs="Times New Roman" w:eastAsia="Times New Roman"/>
                <w:b w:val="false"/>
                <w:sz w:val="26"/>
              </w:rPr>
              <w:t>28-06-2010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Nghị định số 47/2011/NĐ-CP </w:t>
            </w:r>
          </w:p>
        </w:tc>
        <w:tc>
          <w:p/>
          <w:p>
            <w:pPr>
              <w:spacing w:after="0" w:before="0" w:lineRule="auto" w:line="276"/>
              <w:jc w:val="left"/>
            </w:pPr>
            <w:r>
              <w:rPr>
                <w:rFonts w:ascii="Times New Roman" w:hAnsi="Times New Roman" w:cs="Times New Roman" w:eastAsia="Times New Roman"/>
                <w:b w:val="false"/>
                <w:sz w:val="26"/>
              </w:rPr>
              <w:t>Nghị định số 47/2011/NĐ-CP</w:t>
            </w:r>
          </w:p>
        </w:tc>
        <w:tc>
          <w:p/>
          <w:p>
            <w:pPr>
              <w:spacing w:after="0" w:before="0" w:lineRule="auto" w:line="276"/>
              <w:jc w:val="left"/>
            </w:pPr>
            <w:r>
              <w:rPr>
                <w:rFonts w:ascii="Times New Roman" w:hAnsi="Times New Roman" w:cs="Times New Roman" w:eastAsia="Times New Roman"/>
                <w:b w:val="false"/>
                <w:sz w:val="26"/>
              </w:rPr>
              <w:t>17-06-2011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291/2016/TT-BTC</w:t>
            </w:r>
          </w:p>
        </w:tc>
        <w:tc>
          <w:p/>
          <w:p>
            <w:pPr>
              <w:spacing w:after="0" w:before="0" w:lineRule="auto" w:line="276"/>
              <w:jc w:val="left"/>
            </w:pPr>
            <w:r>
              <w:rPr>
                <w:rFonts w:ascii="Times New Roman" w:hAnsi="Times New Roman" w:cs="Times New Roman" w:eastAsia="Times New Roman"/>
                <w:b w:val="false"/>
                <w:sz w:val="26"/>
              </w:rPr>
              <w:t>Thông tư số 291/2016/TT-BTC</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25/2020/TT-BTC</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219/2016-TT-BTC ngày 15/11/2016 quy định mức thu, chế độ thu, nộp, quản lý phí thẩm định điều kiện hoạt động bưu chính</w:t>
            </w:r>
          </w:p>
        </w:tc>
        <w:tc>
          <w:p/>
          <w:p>
            <w:pPr>
              <w:spacing w:after="0" w:before="0" w:lineRule="auto" w:line="276"/>
              <w:jc w:val="left"/>
            </w:pPr>
            <w:r>
              <w:rPr>
                <w:rFonts w:ascii="Times New Roman" w:hAnsi="Times New Roman" w:cs="Times New Roman" w:eastAsia="Times New Roman"/>
                <w:b w:val="false"/>
                <w:sz w:val="26"/>
              </w:rPr>
              <w:t>04-04-2020</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25/2022/NĐ-CP</w:t>
            </w:r>
          </w:p>
        </w:tc>
        <w:tc>
          <w:p/>
          <w:p>
            <w:pPr>
              <w:spacing w:after="0" w:before="0" w:lineRule="auto" w:line="276"/>
              <w:jc w:val="left"/>
            </w:pPr>
            <w:r>
              <w:rPr>
                <w:rFonts w:ascii="Times New Roman" w:hAnsi="Times New Roman" w:cs="Times New Roman" w:eastAsia="Times New Roman"/>
                <w:b w:val="false"/>
                <w:sz w:val="26"/>
              </w:rPr>
              <w:t>Nghị định 25/2022/NĐ-CP</w:t>
            </w:r>
          </w:p>
        </w:tc>
        <w:tc>
          <w:p/>
          <w:p>
            <w:pPr>
              <w:spacing w:after="0" w:before="0" w:lineRule="auto" w:line="276"/>
              <w:jc w:val="left"/>
            </w:pPr>
            <w:r>
              <w:rPr>
                <w:rFonts w:ascii="Times New Roman" w:hAnsi="Times New Roman" w:cs="Times New Roman" w:eastAsia="Times New Roman"/>
                <w:b w:val="false"/>
                <w:sz w:val="26"/>
              </w:rPr>
              <w:t>12-04-2022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Thông tư số 25/2020/TT-BTC ngày 14/4/2020 của Bộ Tài chính sửa đổi, bổ sung một số điều của Thông tư số 291/2016/TT-BTC ngày 15/11/2016 quy định mức thu, chế độ thu, nộp, quản lý và sử dụng phí thẩm định điều kiện hoạt động bưu chính.</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2026-05-25T08:02:53Z</dcterms:created>
  <dc:creator>Apache POI</dc:creator>
</cp:coreProperties>
</file>