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hủy tờ khai hải quan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Trách nhiệm người khai hải quan:</w:t>
      </w:r>
    </w:p>
    <w:p>
      <w:pPr>
        <w:spacing w:after="0" w:before="0" w:lineRule="auto" w:line="276"/>
        <w:jc w:val="both"/>
      </w:pPr>
      <w:r>
        <w:rPr>
          <w:rFonts w:ascii="Times New Roman" w:hAnsi="Times New Roman" w:cs="Times New Roman" w:eastAsia="Times New Roman"/>
          <w:b w:val="false"/>
          <w:sz w:val="26"/>
        </w:rPr>
        <w:t>Khi đề nghị hủy tờ khai hải quan, người khai hải quan khai thông tin đề nghị huỷ tờ khai hải quan theo mẫu số 06 Phụ lục II ban hành kèm Thông tư này và nộp các chứng từ chứng minh việc hủy tờ khai (nếu có) thông qua Hệ thống xử lý dữ liệu điện tử hải quan hoặc nộp 02 bản chính văn bản đề nghị hủy tờ khai hải quan theo mẫu số 04/HTK/GSQL Phụ lục V ban hành kèm Thông tư này trong trường hợp khai tờ khai hải quan giấy cho cơ quan hải quan nơi đăng ký tờ khai.</w:t>
      </w:r>
    </w:p>
    <w:p>
      <w:pPr>
        <w:spacing w:after="0" w:before="0" w:lineRule="auto" w:line="276"/>
        <w:jc w:val="both"/>
      </w:pPr>
      <w:r>
        <w:rPr>
          <w:rFonts w:ascii="Times New Roman" w:hAnsi="Times New Roman" w:cs="Times New Roman" w:eastAsia="Times New Roman"/>
          <w:b w:val="false"/>
          <w:sz w:val="26"/>
        </w:rPr>
        <w:t>Trường hợp hàng hóa xuất khẩu đã đưa vào khu vực giám sát hải quan nhưng thực tế không xuất khẩu, nếu hủy tờ khai để đưa trở lại nội địa, người khai hải quan phải cam kết trong văn bản đề nghị về việc chưa thực hiện việc hoàn thuế, không thu thuế cho lô hàng thuộc tờ khai hàng hóa xuất khẩu tại cơ quan thuế nội địa hoặc tại cơ quan hải quan và chịu trách nhiệm về nội dung đã khai báo. Nếu cơ quan hải quan hoặc cơ quan thuế kiểm tra phát hiện người khai hải quan đã hoàn thuế thì người khai hải quan bị xử lý theo quy định của pháp luật.</w:t>
      </w:r>
    </w:p>
    <w:p>
      <w:pPr>
        <w:shd w:val="clear" w:color="auto" w:fill="F2F6F9"/>
        <w:spacing w:after="0" w:before="120" w:lineRule="auto" w:line="276"/>
        <w:jc w:val="both"/>
      </w:pPr>
      <w:r>
        <w:rPr>
          <w:rFonts w:ascii="Times New Roman" w:hAnsi="Times New Roman" w:cs="Times New Roman" w:eastAsia="Times New Roman"/>
          <w:b w:val="true"/>
          <w:sz w:val="26"/>
        </w:rPr>
        <w:t>b) Trách nhiệm của cơ quan hải quan nơi đăng ký tờ khai:</w:t>
      </w:r>
    </w:p>
    <w:p>
      <w:pPr>
        <w:spacing w:after="0" w:before="0" w:lineRule="auto" w:line="276"/>
        <w:jc w:val="both"/>
      </w:pPr>
      <w:r>
        <w:rPr>
          <w:rFonts w:ascii="Times New Roman" w:hAnsi="Times New Roman" w:cs="Times New Roman" w:eastAsia="Times New Roman"/>
          <w:b w:val="false"/>
          <w:sz w:val="26"/>
        </w:rPr>
        <w:t>b.1) Trường hợp hủy tờ khai hải quan quy định tại điểm a khoản 1 Điều này: 
b.1.1) Chậm nhất 01 ngày làm việc kể từ ngày tờ khai hải quan không có giá trị làm thủ tục hải quan, hải quan nơi đăng ký tờ khai hải quan kiểm tra, xác minh thông tin hàng hóa nhập khẩu đã đến cửa khẩu nhập hoặc hàng hóa xuất khẩu đã đưa vào khu vực giám sát hải quan trên Hệ thống xử lý dữ liệu điện tử hải quan hoặc thực hiện việc xác minh tại Hải quan quản lý địa điểm lưu giữ hàng hóa tại cửa khẩu trong trường hợp Hệ thống xử lý dữ liệu điện tử hải quan chưa kết nối trao đổi thông tin giám sát hàng hóa;
b.1.2) Trường hợp kết quả kiểm tra, xác minh là phù hợp, thực hiện việc hủy tờ khai hải quan và thông báo thông tin hủy tờ khai hải quan cho người khai hải quan trên Hệ thống.</w:t>
      </w:r>
    </w:p>
    <w:p>
      <w:pPr>
        <w:spacing w:after="0" w:before="0" w:lineRule="auto" w:line="276"/>
        <w:jc w:val="both"/>
      </w:pPr>
      <w:r>
        <w:rPr>
          <w:rFonts w:ascii="Times New Roman" w:hAnsi="Times New Roman" w:cs="Times New Roman" w:eastAsia="Times New Roman"/>
          <w:b w:val="false"/>
          <w:sz w:val="26"/>
        </w:rPr>
        <w:t>b.2) Trường hợp hủy tờ khai hải quan quy định tại điểm b khoản 1 Điều này: Trong thời hạn 08 (tám) giờ làm việc kể từ khi nhận đề nghị hủy tờ khai hải quan của người khai hải quan, công chức hải quan kiểm tra lý do, điều kiện và thông tin tờ khai hải quan đề nghị hủy trên Hệ thống, đề xuất Lãnh đạo phê duyệt, thực hiện việc hủy tờ khai hải quan và phản hồi kết quả cho người khai hải quan trên Hệ thống;</w:t>
      </w:r>
    </w:p>
    <w:p>
      <w:pPr>
        <w:spacing w:after="0" w:before="0" w:lineRule="auto" w:line="276"/>
        <w:jc w:val="both"/>
      </w:pPr>
      <w:r>
        <w:rPr>
          <w:rFonts w:ascii="Times New Roman" w:hAnsi="Times New Roman" w:cs="Times New Roman" w:eastAsia="Times New Roman"/>
          <w:b w:val="false"/>
          <w:sz w:val="26"/>
        </w:rPr>
        <w:t>b.3) Thực hiện xử lý tiền thuế đã nộp (nếu có) theo quy định tại Điều 131 Thông tư này;</w:t>
      </w:r>
    </w:p>
    <w:p>
      <w:pPr>
        <w:spacing w:after="0" w:before="0" w:lineRule="auto" w:line="276"/>
        <w:jc w:val="both"/>
      </w:pPr>
      <w:r>
        <w:rPr>
          <w:rFonts w:ascii="Times New Roman" w:hAnsi="Times New Roman" w:cs="Times New Roman" w:eastAsia="Times New Roman"/>
          <w:b w:val="false"/>
          <w:sz w:val="26"/>
        </w:rPr>
        <w:t>b.4) Trường hợp hủy tờ khai hải quan đối với hàng hóa xuất khẩu, nhập khẩu phải quản lý, theo dõi trừ lùi có ảnh hưởng đến thông tin quản lý, theo dõi trừ lùi trên Hệ thống thì sau khi hủy tờ khai hải quan, cơ quan hải quan có trách nhiệm cập nhật thông tin vào Hệ thống;</w:t>
      </w:r>
    </w:p>
    <w:p>
      <w:pPr>
        <w:spacing w:after="0" w:before="0" w:lineRule="auto" w:line="276"/>
        <w:jc w:val="both"/>
      </w:pPr>
      <w:r>
        <w:rPr>
          <w:rFonts w:ascii="Times New Roman" w:hAnsi="Times New Roman" w:cs="Times New Roman" w:eastAsia="Times New Roman"/>
          <w:b w:val="false"/>
          <w:sz w:val="26"/>
        </w:rPr>
        <w:t>b.5) Thông báo cho Chi cục Thuế tỉnh, thành phố nơi doanh nghiệp đăng ký kinh doanh đối với hàng hóa xuất khẩu có nguồn gốc từ trong nước theo mẫu số 01/TB-XNKTC/GSQL Phụ lục V ban hành kèm Thông tư này hoặc thông báo cho Hải quan nơi đăng ký tờ khai hải quan nhập khẩu đối với hàng hóa xuất khẩu có nguồn gốc nhập khẩu (nếu hải quan nơi đăng ký tờ khai hải quan xuất khẩu khác hải quan nơi đăng ký tờ khai hải quan nhập khẩu) để theo dõi, không xử lý hoàn thuế, khấu trừ thuế, không thu thuế đối với hàng hóa thuộc tờ khai hải quan xuất khẩu đã huỷ;</w:t>
      </w:r>
    </w:p>
    <w:p>
      <w:pPr>
        <w:spacing w:after="0" w:before="0" w:lineRule="auto" w:line="276"/>
        <w:jc w:val="both"/>
      </w:pPr>
      <w:r>
        <w:rPr>
          <w:rFonts w:ascii="Times New Roman" w:hAnsi="Times New Roman" w:cs="Times New Roman" w:eastAsia="Times New Roman"/>
          <w:b w:val="false"/>
          <w:sz w:val="26"/>
        </w:rPr>
        <w:t>b.6) Trường hợp cơ quan hải quan có thông tin vi phạm pháp luật liên quan đến lô hàng thì tờ khai chỉ được hủy sau khi đã thực hiện các biện pháp nghiệp vụ và xác định lô hàng không vi phạm pháp luật hoặc đã hoàn thành việc xử lý vi phạm theo quy định của pháp luật;</w:t>
      </w:r>
    </w:p>
    <w:p>
      <w:pPr>
        <w:spacing w:after="0" w:before="0" w:lineRule="auto" w:line="276"/>
        <w:jc w:val="both"/>
      </w:pPr>
      <w:r>
        <w:rPr>
          <w:rFonts w:ascii="Times New Roman" w:hAnsi="Times New Roman" w:cs="Times New Roman" w:eastAsia="Times New Roman"/>
          <w:b w:val="false"/>
          <w:sz w:val="26"/>
        </w:rPr>
        <w:t>b.7) Đối với tờ khai hải quan giấy, ngoài thực hiện các nội dung tương ứng tại điểm b.1, điểm b.2, điểm b.3, điểm b.4, điểm b.5, điểm b.6 khoản này, công chức hải quan nơi đăng ký tờ khai gạch chéo bằng bút mực, ký tên, đóng dấu công chức lên tờ khai hải quan được huỷ; lưu tờ khai hải quan được huỷ theo thứ tự số đăng ký tờ khai hải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hủy tờ khai hải quan quy định tại điểm a khoản 1 Điều 22 Thông tư số 38/2015/TT-BTC được sửa đổi, bổ sung tại khoản 10 Điều 1 Thông tư số 121/2025/TT-BTC: Chậm nhất 01 ngày làm việc kể từ ngày tờ khai hải quan không có giá trị làm thủ tục hải quan, hải quan nơi đăng ký tờ khai hải quan kiểm tra, xác minh thông tin hàng hóa nhập khẩu đã đến cửa khẩu nhập hoặc hàng hóa xuất khẩu đã đưa vào khu vực giám sát hải quan trên Hệ thống xử lý dữ liệu điện tử hải quan hoặc thực hiện việc xác minh tại Hải quan quản lý địa điểm lưu giữ hàng hóa tại cửa khẩu trong trường hợp Hệ thống xử lý dữ liệu điện tử hải quan chưa kết nối trao đổi thông tin giám sát hàng hóa; Trường hợp kết quả kiểm tra, xác minh là phù hợp, thực hiện việc hủy tờ khai hải quan và thông báo thông tin hủy tờ khai hải quan cho người khai hải quan trên Hệ thống.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hủy tờ khai hải quan quy định tại điểm b khoản 1 Điều 22 Thông tư số 38/2015/TT-BTC được sửa đổi, bổ sung tại khoản 10 Điều 1 Thông tư số 121/2025/TT-BTC: Trong thời hạn 08 (tám) giờ làm việc kể từ khi nhận đề nghị hủy tờ khai hải quan của người khai hải quan, công chức hải quan kiểm tra lý do, điều kiện và thông tin tờ khai hải quan đề nghị hủy trên Hệ thống, đề xuất Lãnh đạo phê duyệt, thực hiện việc hủy tờ khai hải quan và phản hồi kết quả cho người khai hải quan trên Hệ thống.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hủy tờ khai hải quan quy định tại điểm a khoản 1 Điều 22 Thông tư số 38/2015/TT-BTC được sửa đổi, bổ sung tại khoản 10 Điều 1 Thông tư số 121/2025/TT-BTC: Chậm nhất 01 ngày làm việc kể từ ngày tờ khai hải quan không có giá trị làm thủ tục hải quan, hải quan nơi đăng ký tờ khai hải quan kiểm tra, xác minh thông tin hàng hóa nhập khẩu đã đến cửa khẩu nhập hoặc hàng hóa xuất khẩu đã đưa vào khu vực giám sát hải quan trên Hệ thống xử lý dữ liệu điện tử hải quan hoặc thực hiện việc xác minh tại Hải quan quản lý địa điểm lưu giữ hàng hóa tại cửa khẩu trong trường hợp Hệ thống xử lý dữ liệu điện tử hải quan chưa kết nối trao đổi thông tin giám sát hàng hóa; Trường hợp kết quả kiểm tra, xác minh là phù hợp, thực hiện việc hủy tờ khai hải quan và thông báo thông tin hủy tờ khai hải quan cho người khai hải quan trên Hệ thống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hủy tờ khai hải quan quy định tại điểm b khoản 1 Điều 22 Thông tư số 38/2015/TT-BTC được sửa đổi, bổ sung tại khoản 10 Điều 1 Thông tư số 121/2025/TT-BTC: Trong thời hạn 08 (tám) giờ làm việc kể từ khi nhận đề nghị hủy tờ khai hải quan của người khai hải quan, công chức hải quan kiểm tra lý do, điều kiện và thông tin tờ khai hải quan đề nghị hủy trên Hệ thống, đề xuất Lãnh đạo phê duyệt, thực hiện việc hủy tờ khai hải quan và phản hồi kết quả cho người khai hải quan trên Hệ thống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hủy tờ khai theo mẫu số 06 Phụ lục II ban hành kèm Thông tư số 38/2015/TT-BTC ngày 25/3/2015 được sửa đổi, bổ sung bởi Phụ lục I Thông tư 39/2018/TT-BTC ngày 20/4/2018 trong trường hợp khai điện tử; Trường hợp đề nghị hủy tờ khai giấy, văn bản đề nghị hủy tờ khai theo mẫu số 04/HTK/GSQL Phụ lục V ban hành kèm theo Thông tư số 38/2015/TT-BTC được sửa đổi, bổ sung tại Phụ lục II Thông tư số 39/2018/TT-BTC:</w:t>
            </w:r>
          </w:p>
        </w:tc>
        <w:tc>
          <w:p/>
          <w:p>
            <w:pPr>
              <w:spacing w:after="0" w:before="0" w:lineRule="auto" w:line="276"/>
              <w:jc w:val="left"/>
            </w:pPr>
            <w:r>
              <w:rPr>
                <w:rFonts w:ascii="Times New Roman" w:hAnsi="Times New Roman" w:cs="Times New Roman" w:eastAsia="Times New Roman"/>
                <w:b w:val="false"/>
                <w:sz w:val="26"/>
              </w:rPr>
              <w:t>MS6Denghihuytokhai.docx</w:t>
            </w:r>
          </w:p>
          <w:p>
            <w:pPr>
              <w:spacing w:after="0" w:before="0" w:lineRule="auto" w:line="276"/>
              <w:jc w:val="left"/>
            </w:pPr>
            <w:r>
              <w:rPr>
                <w:rFonts w:ascii="Times New Roman" w:hAnsi="Times New Roman" w:cs="Times New Roman" w:eastAsia="Times New Roman"/>
                <w:b w:val="false"/>
                <w:sz w:val="26"/>
              </w:rPr>
              <w:t>Mus04Dnhuytokhai.docx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từ chứng minh việc hủy tờ khai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hủy tờ khai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Quy định về thủ tục hải quan; kiểm tra, giám sát hải quan; thuế xuất khẩu thuế nhập khẩu và quản lý thuế đối vớỉ hàng hoá xuất khẩu, nhập khẩu.</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20/2023/QH15</w:t>
            </w:r>
          </w:p>
        </w:tc>
        <w:tc>
          <w:p/>
          <w:p>
            <w:pPr>
              <w:spacing w:after="0" w:before="0" w:lineRule="auto" w:line="276"/>
              <w:jc w:val="left"/>
            </w:pPr>
            <w:r>
              <w:rPr>
                <w:rFonts w:ascii="Times New Roman" w:hAnsi="Times New Roman" w:cs="Times New Roman" w:eastAsia="Times New Roman"/>
                <w:b w:val="false"/>
                <w:sz w:val="26"/>
              </w:rPr>
              <w:t>Luật Giao dịch điện tử năm 2023</w:t>
            </w:r>
          </w:p>
        </w:tc>
        <w:tc>
          <w:p/>
          <w:p>
            <w:pPr>
              <w:spacing w:after="0" w:before="0" w:lineRule="auto" w:line="276"/>
              <w:jc w:val="left"/>
            </w:pPr>
            <w:r>
              <w:rPr>
                <w:rFonts w:ascii="Times New Roman" w:hAnsi="Times New Roman" w:cs="Times New Roman" w:eastAsia="Times New Roman"/>
                <w:b w:val="false"/>
                <w:sz w:val="26"/>
              </w:rPr>
              <w:t>22-06-2023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165/2018/NĐ-CP</w:t>
            </w:r>
          </w:p>
        </w:tc>
        <w:tc>
          <w:p/>
          <w:p>
            <w:pPr>
              <w:spacing w:after="0" w:before="0" w:lineRule="auto" w:line="276"/>
              <w:jc w:val="left"/>
            </w:pPr>
            <w:r>
              <w:rPr>
                <w:rFonts w:ascii="Times New Roman" w:hAnsi="Times New Roman" w:cs="Times New Roman" w:eastAsia="Times New Roman"/>
                <w:b w:val="false"/>
                <w:sz w:val="26"/>
              </w:rPr>
              <w:t>Nghị định 165/2018/NĐ-CP</w:t>
            </w:r>
          </w:p>
        </w:tc>
        <w:tc>
          <w:p/>
          <w:p>
            <w:pPr>
              <w:spacing w:after="0" w:before="0" w:lineRule="auto" w:line="276"/>
              <w:jc w:val="left"/>
            </w:pPr>
            <w:r>
              <w:rPr>
                <w:rFonts w:ascii="Times New Roman" w:hAnsi="Times New Roman" w:cs="Times New Roman" w:eastAsia="Times New Roman"/>
                <w:b w:val="false"/>
                <w:sz w:val="26"/>
              </w:rPr>
              <w:t>24-12-2018</w:t>
            </w:r>
          </w:p>
        </w:tc>
        <w:tc>
          <w:p/>
        </w:tc>
      </w:tr>
      <w:tr>
        <w:tc>
          <w:p/>
          <w:p>
            <w:pPr>
              <w:spacing w:after="0" w:before="0" w:lineRule="auto" w:line="276"/>
              <w:jc w:val="left"/>
            </w:pPr>
            <w:r>
              <w:rPr>
                <w:rFonts w:ascii="Times New Roman" w:hAnsi="Times New Roman" w:cs="Times New Roman" w:eastAsia="Times New Roman"/>
                <w:b w:val="false"/>
                <w:sz w:val="26"/>
              </w:rPr>
              <w:t>39/2018/TT-BTC</w:t>
            </w:r>
          </w:p>
        </w:tc>
        <w:tc>
          <w:p/>
          <w:p>
            <w:pPr>
              <w:spacing w:after="0" w:before="0" w:lineRule="auto" w:line="276"/>
              <w:jc w:val="left"/>
            </w:pPr>
            <w:r>
              <w:rPr>
                <w:rFonts w:ascii="Times New Roman" w:hAnsi="Times New Roman" w:cs="Times New Roman" w:eastAsia="Times New Roman"/>
                <w:b w:val="false"/>
                <w:sz w:val="26"/>
              </w:rPr>
              <w:t>Thông tư 39/2018/TT-BTC</w:t>
            </w:r>
          </w:p>
        </w:tc>
        <w:tc>
          <w:p/>
          <w:p>
            <w:pPr>
              <w:spacing w:after="0" w:before="0" w:lineRule="auto" w:line="276"/>
              <w:jc w:val="left"/>
            </w:pPr>
            <w:r>
              <w:rPr>
                <w:rFonts w:ascii="Times New Roman" w:hAnsi="Times New Roman" w:cs="Times New Roman" w:eastAsia="Times New Roman"/>
                <w:b w:val="false"/>
                <w:sz w:val="26"/>
              </w:rPr>
              <w:t>20-04-2018</w:t>
            </w:r>
          </w:p>
        </w:tc>
        <w:tc>
          <w:p/>
        </w:tc>
      </w:tr>
      <w:tr>
        <w:tc>
          <w:p/>
          <w:p>
            <w:pPr>
              <w:spacing w:after="0" w:before="0" w:lineRule="auto" w:line="276"/>
              <w:jc w:val="left"/>
            </w:pPr>
            <w:r>
              <w:rPr>
                <w:rFonts w:ascii="Times New Roman" w:hAnsi="Times New Roman" w:cs="Times New Roman" w:eastAsia="Times New Roman"/>
                <w:b w:val="false"/>
                <w:sz w:val="26"/>
              </w:rPr>
              <w:t>121/2025/TT-BTC</w:t>
            </w:r>
          </w:p>
        </w:tc>
        <w:tc>
          <w:p/>
          <w:p>
            <w:pPr>
              <w:spacing w:after="0" w:before="0" w:lineRule="auto" w:line="276"/>
              <w:jc w:val="left"/>
            </w:pPr>
            <w:r>
              <w:rPr>
                <w:rFonts w:ascii="Times New Roman" w:hAnsi="Times New Roman" w:cs="Times New Roman" w:eastAsia="Times New Roman"/>
                <w:b w:val="false"/>
                <w:sz w:val="26"/>
              </w:rPr>
              <w:t>Thông tư số 121/2025/TT-BTC sửa đổi, bổ sung một số điều của các Thông tư quy định về thủ tục hải quan, kiểm tra, giám sát hải quan, thuế xuất khẩu, thuế nhập khẩu và quản lý thuế đối với hàng hoá xuất khẩu, nhập khẩu</w:t>
            </w:r>
          </w:p>
        </w:tc>
        <w:tc>
          <w:p/>
          <w:p>
            <w:pPr>
              <w:spacing w:after="0" w:before="0" w:lineRule="auto" w:line="276"/>
              <w:jc w:val="left"/>
            </w:pPr>
            <w:r>
              <w:rPr>
                <w:rFonts w:ascii="Times New Roman" w:hAnsi="Times New Roman" w:cs="Times New Roman" w:eastAsia="Times New Roman"/>
                <w:b w:val="false"/>
                <w:sz w:val="26"/>
              </w:rPr>
              <w:t>18-12-2025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trường hợp hủy tờ khai theo quy định tại khoản 1 Điều 22 Thông tư số 38/2015/TT-BTC được sửa đổi, bổ sung tại khoản 10 Điều 1 Thông tư số 121/2025/TT-BTC:
a) Tờ khai hải quan không có giá trị làm thủ tục hải quan trong các trường hợp sau đây:
a.1) Quá thời hạn 15 ngày kể từ ngày đăng ký tờ khai, hàng hóa được miễn kiểm tra thực tế nhưng không có hàng nhập khẩu đến cửa khẩu nhập hoặc hàng xuất khẩu chưa đưa vào khu vực giám sát hải quan tại cửa khẩu xuất;
a.2) Quá thời hạn 15 ngày kể từ ngày đăng ký tờ khai mà người khai hải quan chưa nộp hoặc xuất trình hồ sơ hải quan;
a.3) Quá thời hạn 15 ngày kể từ ngày đăng ký tờ khai mà người khai hải quan chưa xuất trình hàng hóa xuất khẩu, nhập khẩu phải kiểm tra thực tế để cơ quan hải quan kiểm tra;
a.4) Tờ khai hải quan xuất khẩu tại chỗ quá hạn 15 ngày kể từ ngày thông quan hoặc giải phóng hàng nhưng người nhập khẩu không đăng ký tờ khai nhập khẩu tại chỗ đối ứng, trừ trường hợp quy định tại điểm a.6 khoản 5 Điều 86 Thông tư này;
a.5) Tờ khai hải quan xuất khẩu đối với hàng hóa mua, bán, thuê, mượn giữa doanh nghiệp nội địa với DNCX, doanh nghiệp trong khu phi thuế quan, giữa hai DNCX quá hạn 15 ngày kể từ ngày thông quan hoặc giải phóng hàng nhưng người nhập khẩu không đăng ký tờ khai nhập khẩu đối ứng.
b) Hủy tờ khai hải quan theo yêu cầu của người khai hải quan:
b.1) Tờ khai hải quan đã được đăng ký nhưng chưa được thông quan do Hệ thống xử lý dữ liệu điện tử hải quan có sự cố; 
b.2) Tờ khai hàng hóa xuất khẩu đã có hàng hóa đưa vào khu vực giám sát hải quan nhưng thực tế không xuất khẩu;
b.3) Tờ khai hàng hóa nhập khẩu đã được đăng ký nhưng thực tế hàng hóa không nhập khẩu và hàng hóa chưa đưa qua khu vực giám sát;
b.4) Tờ khai hải quan đã đăng ký nhưng người khai hải quan khai sai các chỉ tiêu thông tin quy định tại mục 3 Phụ lục II ban hành kèm Thông tư này, trừ trường hợp tờ khai hải quan nhập khẩu đã thông quan hoặc giải phóng hàng hoặc đưa hàng về bảo quản và hàng hóa đã qua khu vực giám sát hải quan hoặc tờ khai hải quan xuất khẩu đã thông quan hoặc giải phóng hàng và hàng hóa thực tế đã xuất khẩu;
b.5) Tờ khai hải quan xuất khẩu tại chỗ, tờ khai hải quan xuất khẩu đối với hàng hóa mua, bán, thuê, mượn giữa doanh nghiệp nội địa với DNCX, doanh nghiệp trong khu phi thuế quan, giữa hai DNCX đã hoàn thành kiểm tra hải quan hoặc giải phóng hàng nhưng người xuất khẩu hoặc người nhập khẩu hủy giao dịch xuất khẩu, nhập khẩu.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2026-05-24T23:39:52Z</dcterms:created>
  <dc:creator>Apache POI</dc:creator>
</cp:coreProperties>
</file>