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QĐ/3164-TTCP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cơ quan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xml:space="preserve">Bước 1: Thụ lý tố cáo            Trước khi thụ lý tố cáo, Bộ, cơ quan ngang bộ (sau đây gọi là Bộ)  xác minh hoặc giao cơ quan thanh tra cùng cấp hoặc cơ quan, tổ chức thuộc Bộ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Bộ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 </w:t>
      </w:r>
    </w:p>
    <w:p>
      <w:pPr>
        <w:spacing w:after="0" w:before="0" w:lineRule="auto" w:line="276"/>
        <w:jc w:val="both"/>
      </w:pPr>
      <w:r>
        <w:rPr>
          <w:rFonts w:ascii="Times New Roman" w:hAnsi="Times New Roman" w:cs="Times New Roman" w:eastAsia="Times New Roman"/>
          <w:b w:val="false"/>
          <w:sz w:val="26"/>
        </w:rPr>
        <w:t xml:space="preserve"> Bước 2: Xác minh nội dung tố cáo 
          1. Bộ, cơ quan ngang Bộ tiến hành xác minh hoặc giao cho cơ quan thanh tra cùng cấp hoặc cơ quan, tổ chức, cá nhân khác xác minh nội dung tố cáo (gọi chung là người xác minh nội dung tố cáo). Việc giao xác minh nội dung tố cáo phải thực hiện bằng văn bản. 
         2. Trường hợp người giải quyết tố cáo giao cho cơ quan thanh tra Bộ hoặc cơ quan, tổ chức, cá nhân khác thuộc Bộ xác minh nội dung tố cáo thì văn bản giao xác minh nội dung tố cáo thực hiện theo quy định tại khoản 2 Điều 31 Luật Tố cáo. Thủ trưởng cơ quan thanh tra hoặc cơ quan, tổ chức, cá nhân khác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 
</w:t>
      </w:r>
    </w:p>
    <w:p>
      <w:pPr>
        <w:spacing w:after="0" w:before="0" w:lineRule="auto" w:line="276"/>
        <w:jc w:val="both"/>
      </w:pPr>
      <w:r>
        <w:rPr>
          <w:rFonts w:ascii="Times New Roman" w:hAnsi="Times New Roman" w:cs="Times New Roman" w:eastAsia="Times New Roman"/>
          <w:b w:val="false"/>
          <w:sz w:val="26"/>
        </w:rPr>
        <w:t>Bước 3: Kết luận nội dung tố cáo 
Theo quy định tại Điều 35 Luật Tố cáo 2018 và Điều 17 Nghị định 31/2019/NĐ-CP:
1. Căn cứ vào nội dung tố cáo, giải trình của người bị tố cáo, kết quả xác minh nội dung tố cáo, tài liệu, chứng cứ có liên quan, Bộ trưởng, thủ trưởng cơ quan ngang bộ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
</w:t>
      </w:r>
    </w:p>
    <w:p>
      <w:pPr>
        <w:spacing w:after="0" w:before="0" w:lineRule="auto" w:line="276"/>
        <w:jc w:val="both"/>
      </w:pPr>
      <w:r>
        <w:rPr>
          <w:rFonts w:ascii="Times New Roman" w:hAnsi="Times New Roman" w:cs="Times New Roman" w:eastAsia="Times New Roman"/>
          <w:b w:val="false"/>
          <w:sz w:val="26"/>
        </w:rPr>
        <w:t>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thanh tra nhà nước cùng cấp theo dõi, đôn đốc việc thực hiện kết luận nội dung tố cáo.Trường hợp giao cho cơ quan thanh tra nhà nước cùng cấp theo dõi, đôn đốc việc thực hiện kết luận nội dung tố cáo thì cơ quan thanh tra nhà nước phải định kỳ hàng tháng báo cáo với người giải quyết tố cáo về kết quả theo dõi, đôn đốc việc thực hiện kết luận nội dung tố cáo.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 cáo được thực hiện bằng đơn (gửi qua đường bưu điện hoặc gửi trực tiếp đến cơ quan, người có thẩm quyền giải quyết)
- Tố cáo được trình bày trực tiếp với cơ quan, tổ chức, người có thẩm quyền.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Thông tư 06-2013.docx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Bộ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trưởng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số 25/2018/QH14</w:t>
            </w:r>
          </w:p>
        </w:tc>
        <w:tc>
          <w:p/>
          <w:p>
            <w:pPr>
              <w:spacing w:after="0" w:before="0" w:lineRule="auto" w:line="276"/>
              <w:jc w:val="left"/>
            </w:pPr>
            <w:r>
              <w:rPr>
                <w:rFonts w:ascii="Times New Roman" w:hAnsi="Times New Roman" w:cs="Times New Roman" w:eastAsia="Times New Roman"/>
                <w:b w:val="false"/>
                <w:sz w:val="26"/>
              </w:rPr>
              <w:t>Luật tố cáo</w:t>
            </w:r>
          </w:p>
        </w:tc>
        <w:tc>
          <w:p/>
          <w:p>
            <w:pPr>
              <w:spacing w:after="0" w:before="0" w:lineRule="auto" w:line="276"/>
              <w:jc w:val="left"/>
            </w:pPr>
            <w:r>
              <w:rPr>
                <w:rFonts w:ascii="Times New Roman" w:hAnsi="Times New Roman" w:cs="Times New Roman" w:eastAsia="Times New Roman"/>
                <w:b w:val="false"/>
                <w:sz w:val="26"/>
              </w:rPr>
              <w:t>12-06-2018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số 31/2019/NĐ-CP</w:t>
            </w:r>
          </w:p>
        </w:tc>
        <w:tc>
          <w:p/>
          <w:p>
            <w:pPr>
              <w:spacing w:after="0" w:before="0" w:lineRule="auto" w:line="276"/>
              <w:jc w:val="left"/>
            </w:pPr>
            <w:r>
              <w:rPr>
                <w:rFonts w:ascii="Times New Roman" w:hAnsi="Times New Roman" w:cs="Times New Roman" w:eastAsia="Times New Roman"/>
                <w:b w:val="false"/>
                <w:sz w:val="26"/>
              </w:rPr>
              <w:t>Nghị định quy định chi tiết nột số điểu và biện pháp tổ chức thi hành Luật tố cáo</w:t>
            </w:r>
          </w:p>
        </w:tc>
        <w:tc>
          <w:p/>
          <w:p>
            <w:pPr>
              <w:spacing w:after="0" w:before="0" w:lineRule="auto" w:line="276"/>
              <w:jc w:val="left"/>
            </w:pPr>
            <w:r>
              <w:rPr>
                <w:rFonts w:ascii="Times New Roman" w:hAnsi="Times New Roman" w:cs="Times New Roman" w:eastAsia="Times New Roman"/>
                <w:b w:val="false"/>
                <w:sz w:val="26"/>
              </w:rPr>
              <w:t>10-04-2019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         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2026-04-30T12:34:46Z</dcterms:created>
  <dc:creator>Apache POI</dc:creator>
</cp:coreProperties>
</file>