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QĐ/3164-TTCP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UBND cấp huyện xác minh hoặc giao cơ quan thanh tra cùng cấp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huyện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w:t>
      </w:r>
    </w:p>
    <w:p>
      <w:pPr>
        <w:spacing w:after="0" w:before="0" w:lineRule="auto" w:line="276"/>
        <w:jc w:val="both"/>
      </w:pPr>
      <w:r>
        <w:rPr>
          <w:rFonts w:ascii="Times New Roman" w:hAnsi="Times New Roman" w:cs="Times New Roman" w:eastAsia="Times New Roman"/>
          <w:b w:val="false"/>
          <w:sz w:val="26"/>
        </w:rPr>
        <w:t xml:space="preserve"> Bước 2: Xác minh nội dung tố cáo 
          1. UBND cấp huyện tiến hành xác minh hoặc giao cho cơ quan thanh tra huyện hoặc các tổ chức trực thuộc UBND huyện xác minh nội dung tố cáo (gọi chung là người xác minh nội dung tố cáo). Việc giao xác minh nội dung tố cáo phải thực hiện bằng văn bản. 
         2. Trường hợp người giải quyết tố cáo giao cho cơ quan thanh tra  huyện hoặc tổ chức khác thuộc UBND huyện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cấp huyện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được thực hiện bằng đơn (gửi qua đường bưu điện hoặc gửi trực tiếp đến cơ quan, người có thẩm quyền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2026-05-18T12:39:41Z</dcterms:created>
  <dc:creator>Apache POI</dc:creator>
</cp:coreProperties>
</file>