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1837/QĐ-BTP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Trường hợp người bị thiệt hại trực tiếp yêu cầu bồi thường thì hồ sơ yêu cầu bồi thường (sau đây gọi là hồ sơ)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Văn bản yêu cầu bồi thường.doc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thừa kế, người đại diện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hợp pháp trong trường hợp đại diện theo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bị thiệt hại chết mà có di chúc thì người yêu cầu bồi thường phải cung cấp di chúc, trường hợp không có di chúc thì phải có văn bản hợp pháp về quyền thừa kế. 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trực tiếp quản lý người thi hành công vụ gây thiệt hại trong hoạt động quản lý hành chính, tố tụng, thi hành án quy định từ Điều 33 đến Điều 39 Luật TNBTCNN năm 2017 ở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04/2018/TT-BTP </w:t>
            </w:r>
          </w:p>
        </w:tc>
        <w:tc>
          <w:p/>
          <w:p>
            <w:pPr>
              <w:spacing w:after="0" w:before="0" w:lineRule="auto" w:line="276"/>
              <w:jc w:val="left"/>
            </w:pPr>
            <w:r>
              <w:rPr>
                <w:rFonts w:ascii="Times New Roman" w:hAnsi="Times New Roman" w:cs="Times New Roman" w:eastAsia="Times New Roman"/>
                <w:b w:val="false"/>
                <w:sz w:val="26"/>
              </w:rPr>
              <w:t>Quyết định giải quyết bồi thường</w:t>
            </w:r>
          </w:p>
        </w:tc>
        <w:tc>
          <w:p/>
          <w:p>
            <w:pPr>
              <w:spacing w:after="0" w:before="0" w:lineRule="auto" w:line="276"/>
              <w:jc w:val="left"/>
            </w:pPr>
            <w:r>
              <w:rPr>
                <w:rFonts w:ascii="Times New Roman" w:hAnsi="Times New Roman" w:cs="Times New Roman" w:eastAsia="Times New Roman"/>
                <w:b w:val="false"/>
                <w:sz w:val="26"/>
              </w:rPr>
              <w:t>17-05-2017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68/2018/NĐ-CP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Thủ tục hành chính được thực hiện khi có một trong các căn cứ sau đây:
-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2026-05-01T03:03:54Z</dcterms:created>
  <dc:creator>Apache POI</dc:creator>
</cp:coreProperties>
</file>