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3787 /QĐ-BTP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cơ quan giải quyết bồi thường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xác định cơ quan theo quy định tại khoản 2 Điều 32 Nghị định số 68/2018/NĐ-CP, Sở Tư pháp giúp UBND cấp tỉnh xác định cơ quan giải quyết bồi thường</w:t>
      </w:r>
    </w:p>
    <w:p>
      <w:pPr>
        <w:spacing w:after="0" w:before="0" w:lineRule="auto" w:line="276"/>
        <w:jc w:val="both"/>
      </w:pPr>
      <w:r>
        <w:rPr>
          <w:rFonts w:ascii="Times New Roman" w:hAnsi="Times New Roman" w:cs="Times New Roman" w:eastAsia="Times New Roman"/>
          <w:b w:val="false"/>
          <w:sz w:val="26"/>
        </w:rPr>
        <w:t>- Cơ quan quản lý nhà nước về công tác bồi thường nhà nước tổ chức họp với các cơ quan có liên quan để xác định cơ quan giải quyết bồi thường;</w:t>
      </w:r>
    </w:p>
    <w:p>
      <w:pPr>
        <w:spacing w:after="0" w:before="0" w:lineRule="auto" w:line="276"/>
        <w:jc w:val="both"/>
      </w:pPr>
      <w:r>
        <w:rPr>
          <w:rFonts w:ascii="Times New Roman" w:hAnsi="Times New Roman" w:cs="Times New Roman" w:eastAsia="Times New Roman"/>
          <w:b w:val="false"/>
          <w:sz w:val="26"/>
        </w:rPr>
        <w:t>- Trường hợp các cơ quan thống nhất được cơ quan giải quyết bồi thường thì cơ quan quản lý nhà nước về công tác bồi thường nhà nước ban hành văn bản xác định cơ quan giải quyết bồi thường;</w:t>
      </w:r>
    </w:p>
    <w:p>
      <w:pPr>
        <w:spacing w:after="0" w:before="0" w:lineRule="auto" w:line="276"/>
        <w:jc w:val="both"/>
      </w:pPr>
      <w:r>
        <w:rPr>
          <w:rFonts w:ascii="Times New Roman" w:hAnsi="Times New Roman" w:cs="Times New Roman" w:eastAsia="Times New Roman"/>
          <w:b w:val="false"/>
          <w:sz w:val="26"/>
        </w:rPr>
        <w:t>- Trường hợp các cơ quan không thống nhất được cơ quan giải quyết bồi thường thì cơ quan quản lý nhà nước về công tác bồi thường nhà nước quyết định một trong số các cơ quan có liên quan là cơ quan giải quyết bồi thường và ban hành văn bản xác định cơ quan giải quyết bồi thường.</w:t>
      </w:r>
    </w:p>
    <w:p>
      <w:pPr>
        <w:shd w:val="clear" w:color="auto" w:fill="F2F6F9"/>
        <w:spacing w:after="0" w:before="120" w:lineRule="auto" w:line="276"/>
        <w:jc w:val="both"/>
      </w:pPr>
      <w:r>
        <w:rPr>
          <w:rFonts w:ascii="Times New Roman" w:hAnsi="Times New Roman" w:cs="Times New Roman" w:eastAsia="Times New Roman"/>
          <w:b w:val="true"/>
          <w:sz w:val="26"/>
        </w:rPr>
        <w:t>b) Trường hợp xác định cơ quan theo quy định tại Điều 33 Nghị định số 68/2018/NĐ-CP, Sở Tư pháp thực hiện việc xác định cơ quan giải quyết bồi thường khi người yêu cầu bồi thường chưa xác định ngay được cơ quan giải quyết bồi thường.</w:t>
      </w:r>
    </w:p>
    <w:p>
      <w:pPr>
        <w:spacing w:after="0" w:before="0" w:lineRule="auto" w:line="276"/>
        <w:jc w:val="both"/>
      </w:pPr>
      <w:r>
        <w:rPr>
          <w:rFonts w:ascii="Times New Roman" w:hAnsi="Times New Roman" w:cs="Times New Roman" w:eastAsia="Times New Roman"/>
          <w:b w:val="false"/>
          <w:sz w:val="26"/>
        </w:rPr>
        <w:t>- Sở Tư pháp trao đổi với các cơ quan có liên quan đến vụ việc yêu cầu bồi thường để thống nhất cơ quan giải quyết bồi thường;</w:t>
      </w:r>
    </w:p>
    <w:p>
      <w:pPr>
        <w:spacing w:after="0" w:before="0" w:lineRule="auto" w:line="276"/>
        <w:jc w:val="both"/>
      </w:pPr>
      <w:r>
        <w:rPr>
          <w:rFonts w:ascii="Times New Roman" w:hAnsi="Times New Roman" w:cs="Times New Roman" w:eastAsia="Times New Roman"/>
          <w:b w:val="false"/>
          <w:sz w:val="26"/>
        </w:rPr>
        <w:t>- Khi xác định được cơ quan giải quyết bồi thường thì Sở Tư pháp gửi hồ sơ cho cơ quan đó để thụ lý, giải quyết;</w:t>
      </w:r>
    </w:p>
    <w:p>
      <w:pPr>
        <w:spacing w:after="0" w:before="0" w:lineRule="auto" w:line="276"/>
        <w:jc w:val="both"/>
      </w:pPr>
      <w:r>
        <w:rPr>
          <w:rFonts w:ascii="Times New Roman" w:hAnsi="Times New Roman" w:cs="Times New Roman" w:eastAsia="Times New Roman"/>
          <w:b w:val="false"/>
          <w:sz w:val="26"/>
        </w:rPr>
        <w:t>- Trường hợp việc xác định cơ quan giải quyết bồi thường theo quy định tại điểm a hoặc điểm b Khoản 1 Điều 40 của Luật TNBTCNN năm 2017 thì Sở Tư pháp gửi ngay hồ sơ đến cơ quan quản lý nhà nước về công tác bồi thường nhà nước có thẩm quyền để xác định cơ quan giải quyết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Yêu cầu xác định cơ quan giải quyết bồi thường của người yêu cầu bồi thường hoặc hồ sơ do các cơ quan không thống nhất được cơ quan giải quyết bồi thường chuyển sang khi có một trong các căn cứ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Trường hợp xác định cơ quan theo quy định tại khoản 2 Điều 32 Nghị định số 68/2018/NĐ-CP, Sở Tư pháp giúp UBND cấp tỉnh xác định cơ quan giải quyết bồi thường thì khi có một trong các căn cứ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Không có sự thống nhất về cơ quan giải quyết bồi thường trong trường hợp có nhiều người thi hành công vụ thuộc nhiều cơ quan trong phạm vi quản lý của địa phương mình cùng gây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nhà nước ở địa phương bị giải thể theo quyết định của Quốc hội, Ủy ban Thường vụ Quốc hội, Chính phủ,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xác định cơ quan theo quy định tại Điều 33 Nghị định số 68/2018/NĐ-CP, Sở Tư pháp thực hiện việc xác định cơ quan giải quyết bồi thường khi người yêu cầu bồi thường chưa xác định ngay được cơ quan giải quyết bồi thương thì người yêu cầu bồi thường gửi hồ sơ yêu cầu bồi thường quy định tại Điều 41 Luật TNBTCNN năm 2017.</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định cơ quan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04/2018/TT-BTP </w:t>
            </w:r>
          </w:p>
        </w:tc>
        <w:tc>
          <w:p/>
          <w:p>
            <w:pPr>
              <w:spacing w:after="0" w:before="0" w:lineRule="auto" w:line="276"/>
              <w:jc w:val="left"/>
            </w:pPr>
            <w:r>
              <w:rPr>
                <w:rFonts w:ascii="Times New Roman" w:hAnsi="Times New Roman" w:cs="Times New Roman" w:eastAsia="Times New Roman"/>
                <w:b w:val="false"/>
                <w:sz w:val="26"/>
              </w:rPr>
              <w:t>ban hành một số biểu mẫu trong công tác bồi thường.</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Thủ tục hành chính được thực hiện khi có một trong các căn cứ sau đây:
a) Trường hợp xác định cơ quan theo quy định tại khoản 2 Điều 32 Nghị định số 68/2018/NĐ-CP, Sở Tư pháp giúp UBND cấp tỉnh xác định cơ quan giải quyết bồi thường thì khi có một trong các căn cứ sau:
- Không có sự thống nhất về cơ quan giải quyết bồi thường trong trường hợp có nhiều người thi hành công vụ thuộc nhiều cơ quan trong phạm vi quản lý của địa phương mình cùng gây thiệt hại;
- Cơ quan nhà nước ở địa phương bị giải thể theo quyết định của Quốc hội, Ủy ban Thường vụ Quốc hội, Chính phủ, Thủ tướng Chính phủ.
b) Trường hợp xác định cơ quan theo quy định tại Điều 33 Nghị định số 68/2018/NĐ-CP, Sở Tư pháp thực hiện việc xác định cơ quan giải quyết bồi thường khi người yêu cầu bồi thường chưa xác định ngay được cơ quan giải quyết bồi thương và người yêu cầu bồi thường gửi hồ sơ yêu cầu bồi thường đến Sở Tư pháp theo quy định tại khoản 4 Điều 41 Luật TNBTCNN năm 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2026-05-25T18:50:31Z</dcterms:created>
  <dc:creator>Apache POI</dc:creator>
</cp:coreProperties>
</file>