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3787 /QĐ-BTP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 
Cơ quan giải quyết bồi thường khai thác, sử dụng thông tin trên cơ sở dữ liệu quốc gia, cơ sở dữ liệu chuyên ngành:
Đối với giấy tờ chứng minh nhân thân là Chứng minh nhân dân/Căn cước công dân/Thẻ Căn cước/Giấy chứng nhận căn cước, người yêu cầu bồi thường có thể cung cấp thông tin về giấy tờ (số, ngày cấp, nơi cấp, ngày hết hạn) để cơ quan giải quyết bồi thường khai thác, sử dụng thông tin trong Cơ sở dữ liệu quốc gia về dân cư thay cho giấy tờ phải nộp.
Trường hợp không khai thác được hoặc thông tin khai thác được không đầy đủ, không chính xác thì thực hiện như sau: 
+ Trường hợp người yêu cầu bồi thường nộp hồ sơ trực tuyến trên Cổng Dịch vụ công quốc gia, cơ quan giải quyết bồi thường phải có thông báo yêu cầu bổ sung, hoàn thiện hồ sơ cho người yêu cầu bồi thường trong thời hạn 05 ngày làm việc kể từ khi Hệ thống thông tin giải quyết thủ tục hành chính tiếp nhận hồ sơ theo quy định tại khoản 2 Điều 42 Luật TNBTCNN.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bồi thường nộp hồ sơ trực tiếp hoặc qua dịch vụ bưu chính, cơ quan giải quyết bồi thường phải có thông báo yêu cầu bổ sung, hoàn thiện hồ sơ cho người yêu cầu bồi thường trong thời hạn 05 ngày làm việc kể từ ngày nhận được hồ sơ theo quy định tại khoản 2 Điều 42 Luật TNBTCNN.</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trường hợp người yêu cầu bồi thường nộp hồ sơ trực tiếp, cơ quan giải quyết bồi thường tiếp nhận hồ sơ, ghi vào sổ nhận hồ sơ và cấp giấy xác nhận đã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dịch vụ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dịch vụ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dịch vụ bưu chính.
- Người yêu cầu bồi thường nhận quyết định giải quyết bồi thường ngay tại buổi thương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Trường hợp người bị thiệt hại trực tiếp yêu cầu bồi thường thì hồ sơ yêu cầu bồi thường (sau đây gọi là hồ sơ)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Mu01-vanbanYCBT-BTNN.docx</w:t>
            </w:r>
          </w:p>
          <w:p>
            <w:pPr>
              <w:spacing w:after="0" w:before="0" w:lineRule="auto" w:line="276"/>
              <w:jc w:val="left"/>
            </w:pPr>
            <w:r>
              <w:rPr>
                <w:rFonts w:ascii="Times New Roman" w:hAnsi="Times New Roman" w:cs="Times New Roman" w:eastAsia="Times New Roman"/>
                <w:b w:val="false"/>
                <w:sz w:val="26"/>
              </w:rPr>
              <w:t>Mu01-vanbanYCBT-BTNN.pdf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Cơ quan trực tiếp quản lý người thi hành công vụ gây thiệt hại trong hoạt động quản lý hành chính, tố tụng, thi hành án quy định từ Điều 33 đến Điều 39 của Luật TNBTCNN năm 2017 ở cấp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Bộ Tư pháp, số 60 Trần Phú,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04/2018/TT-BTP </w:t>
            </w:r>
          </w:p>
        </w:tc>
        <w:tc>
          <w:p/>
          <w:p>
            <w:pPr>
              <w:spacing w:after="0" w:before="0" w:lineRule="auto" w:line="276"/>
              <w:jc w:val="left"/>
            </w:pPr>
            <w:r>
              <w:rPr>
                <w:rFonts w:ascii="Times New Roman" w:hAnsi="Times New Roman" w:cs="Times New Roman" w:eastAsia="Times New Roman"/>
                <w:b w:val="false"/>
                <w:sz w:val="26"/>
              </w:rPr>
              <w:t>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2026-05-04T16:10:56Z</dcterms:created>
  <dc:creator>Apache POI</dc:creator>
</cp:coreProperties>
</file>