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Chấp thuận thiết kế kỹ thuật và phương án tổ chức giao thông của nút giao đấu nối vào quốc lộ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đơn vị nộp hồ sơ đề nghị gia hạn Chấp thuận thiết kế kỹ thuật và phương án tổ chức giao thông của nút giao đấu nối vào quốc lộ Cơ quan có thẩm quyền đã chấp thuận lần đầu (Cơ quan Chấp thuận lần đầu)</w:t>
      </w:r>
    </w:p>
    <w:p>
      <w:pPr>
        <w:spacing w:after="0" w:before="0" w:lineRule="auto" w:line="276"/>
        <w:jc w:val="both"/>
      </w:pPr>
      <w:r>
        <w:rPr>
          <w:rFonts w:ascii="Times New Roman" w:hAnsi="Times New Roman" w:cs="Times New Roman" w:eastAsia="Times New Roman"/>
          <w:b w:val="false"/>
          <w:sz w:val="26"/>
        </w:rPr>
        <w:t xml:space="preserve">b) Giải quyết TTHC:
- Đối với trường hợp nộp trực tiếp, sau khi kiểm tra thành phần hồ sơ, nếu đúng quy định, Cơ quan Chấp thuận lần đầu hướng dẫn hoàn thiện hồ sơ; nếu đúng quy định thì tiếp nhận hồ sơ; nếu không đúng quy định, hướng dẫn tổ chức, cá nhân hoàn thiện hồ sơ.
- Đối với trường hợp nộp qua hệ thống chính hoặc bằng các hình thức phù hợp khác, Cơ quan Chấp thuận lần đầu tiếp nhận hồ sơ. Trường hợp hồ sơ chưa đầy đủ theo quy định, chậm nhất 02 ngày làm việc, kể từ ngày nhận hồ sơ phải có văn bản hướng dẫn cho tổ chức, cá nhân hoàn thiện.
- Cơ quan Chấp thuận lần đầu tiến hành thẩm định hồ sơ, nếu đủ điều kiện, có văn bản chấp thuận. Trường hợp không chấp thuận,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chấp thuận thiết kế kỹ thuật và phương án tổ chức giao thông của nút giao đấu nối vào quốc lộ</w:t>
            </w:r>
          </w:p>
        </w:tc>
        <w:tc>
          <w:p/>
          <w:p>
            <w:pPr>
              <w:spacing w:after="0" w:before="0" w:lineRule="auto" w:line="276"/>
              <w:jc w:val="left"/>
            </w:pPr>
            <w:r>
              <w:rPr>
                <w:rFonts w:ascii="Times New Roman" w:hAnsi="Times New Roman" w:cs="Times New Roman" w:eastAsia="Times New Roman"/>
                <w:b w:val="false"/>
                <w:sz w:val="26"/>
              </w:rPr>
              <w:t>Mẫu11.doc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Khu Quản lý đường bộ,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chấp thuận thiết kế kỹ thuật và phương án tổ chức giao thông của nút giao đấu nối vào quốc lộ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11/2010/NĐ-CP</w:t>
            </w:r>
          </w:p>
        </w:tc>
        <w:tc>
          <w:p/>
          <w:p>
            <w:pPr>
              <w:spacing w:after="0" w:before="0" w:lineRule="auto" w:line="276"/>
              <w:jc w:val="left"/>
            </w:pPr>
            <w:r>
              <w:rPr>
                <w:rFonts w:ascii="Times New Roman" w:hAnsi="Times New Roman" w:cs="Times New Roman" w:eastAsia="Times New Roman"/>
                <w:b w:val="false"/>
                <w:sz w:val="26"/>
              </w:rPr>
              <w:t>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50/2015/TT-BGTVT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23-09-2015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06/2023/TT-BGTVT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quản lý, khai thác, sử dụng, bảo trì và bảo vệ đường bộ</w:t>
            </w:r>
          </w:p>
        </w:tc>
        <w:tc>
          <w:p/>
          <w:p>
            <w:pPr>
              <w:spacing w:after="0" w:before="0" w:lineRule="auto" w:line="276"/>
              <w:jc w:val="left"/>
            </w:pPr>
            <w:r>
              <w:rPr>
                <w:rFonts w:ascii="Times New Roman" w:hAnsi="Times New Roman" w:cs="Times New Roman" w:eastAsia="Times New Roman"/>
                <w:b w:val="false"/>
                <w:sz w:val="26"/>
              </w:rPr>
              <w:t>15-12-2023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2026-05-19T22:39:57Z</dcterms:created>
  <dc:creator>Apache POI</dc:creator>
</cp:coreProperties>
</file>