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1.006237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1708/QĐ-BTC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cấp thẻ thẩm định giá lần đầu đối với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Thí sinh nộp trực tiếp 01 (một) bộ hồ sơ đăng ký dự thi tới Văn phòng Hội đồng thi, nộp phí dự thi theo quy định tại Điều 5 Thông tư số 46/2014/TT-BTC.</w:t>
      </w:r>
    </w:p>
    <w:p>
      <w:pPr>
        <w:spacing w:after="0" w:before="0" w:lineRule="auto" w:line="276"/>
        <w:jc w:val="both"/>
      </w:pPr>
      <w:r>
        <w:rPr>
          <w:rFonts w:ascii="Times New Roman" w:hAnsi="Times New Roman" w:cs="Times New Roman" w:eastAsia="Times New Roman"/>
          <w:b w:val="false"/>
          <w:sz w:val="26"/>
        </w:rPr>
        <w:t>Bước 2: Văn phòng Hội đồng thi tiếp nhận hồ sơ đăng ký dự thi, lập Phiếu xác nhận đã nộp đầy đủ hồ sơ và lập phiếu thu đã nộp phí dự thi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Phí dự thi thu bằng đồng Việt Nam và được nộp trực tiếp tại Văn phòng Hội đồng thi hoặc chuyển khoản tại ngân hàng theo thông báo của Hội đồng thi cho từng kỳ thi (nếu có). Mức thu phí dự thi theo quy định của Bộ Tài chính. Hội đồng thi chịu trách nhiệm thông báo mức phí dự thi cho từng kỳ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thi sát hạch có dán ảnh mẫu cỡ 4x6cm chụp trong 06 tháng tính đến ngày đăng ký dự thi theo mẫu quy định tại Phụ lục số 03 ban hành kèm theo Thông tư số 46/2014/TT-BTC, được sửa đổi, bổ sung tại Thông tư số 43/2023/TT-BTC.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giá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xác nhận đã nộp đầy đủ hồ sơ và phiếu thu đã nộp phí dự thi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11/2012/QH13</w:t>
            </w:r>
          </w:p>
        </w:tc>
        <w:tc>
          <w:p/>
          <w:p>
            <w:pPr>
              <w:spacing w:after="0" w:before="0" w:lineRule="auto" w:line="276"/>
              <w:jc w:val="left"/>
            </w:pPr>
            <w:r>
              <w:rPr>
                <w:rFonts w:ascii="Times New Roman" w:hAnsi="Times New Roman" w:cs="Times New Roman" w:eastAsia="Times New Roman"/>
                <w:b w:val="false"/>
                <w:sz w:val="26"/>
              </w:rPr>
              <w:t>Luật 11/2012/QH13 - Giá</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89/2013/NĐ-CP</w:t>
            </w:r>
          </w:p>
        </w:tc>
        <w:tc>
          <w:p/>
          <w:p>
            <w:pPr>
              <w:spacing w:after="0" w:before="0" w:lineRule="auto" w:line="276"/>
              <w:jc w:val="left"/>
            </w:pPr>
            <w:r>
              <w:rPr>
                <w:rFonts w:ascii="Times New Roman" w:hAnsi="Times New Roman" w:cs="Times New Roman" w:eastAsia="Times New Roman"/>
                <w:b w:val="false"/>
                <w:sz w:val="26"/>
              </w:rPr>
              <w:t>NĐ 89/2013/NĐ-CP</w:t>
            </w:r>
          </w:p>
        </w:tc>
        <w:tc>
          <w:p/>
          <w:p>
            <w:pPr>
              <w:spacing w:after="0" w:before="0" w:lineRule="auto" w:line="276"/>
              <w:jc w:val="left"/>
            </w:pPr>
            <w:r>
              <w:rPr>
                <w:rFonts w:ascii="Times New Roman" w:hAnsi="Times New Roman" w:cs="Times New Roman" w:eastAsia="Times New Roman"/>
                <w:b w:val="false"/>
                <w:sz w:val="26"/>
              </w:rPr>
              <w:t>06-08-2013</w:t>
            </w:r>
          </w:p>
        </w:tc>
        <w:tc>
          <w:p/>
        </w:tc>
      </w:tr>
      <w:tr>
        <w:tc>
          <w:p/>
          <w:p>
            <w:pPr>
              <w:spacing w:after="0" w:before="0" w:lineRule="auto" w:line="276"/>
              <w:jc w:val="left"/>
            </w:pPr>
            <w:r>
              <w:rPr>
                <w:rFonts w:ascii="Times New Roman" w:hAnsi="Times New Roman" w:cs="Times New Roman" w:eastAsia="Times New Roman"/>
                <w:b w:val="false"/>
                <w:sz w:val="26"/>
              </w:rPr>
              <w:t>46/2014/TT-BTC</w:t>
            </w:r>
          </w:p>
        </w:tc>
        <w:tc>
          <w:p/>
          <w:p>
            <w:pPr>
              <w:spacing w:after="0" w:before="0" w:lineRule="auto" w:line="276"/>
              <w:jc w:val="left"/>
            </w:pPr>
            <w:r>
              <w:rPr>
                <w:rFonts w:ascii="Times New Roman" w:hAnsi="Times New Roman" w:cs="Times New Roman" w:eastAsia="Times New Roman"/>
                <w:b w:val="false"/>
                <w:sz w:val="26"/>
              </w:rPr>
              <w:t>Thông tư số 46/2014/TT-BTC</w:t>
            </w:r>
          </w:p>
        </w:tc>
        <w:tc>
          <w:p/>
          <w:p>
            <w:pPr>
              <w:spacing w:after="0" w:before="0" w:lineRule="auto" w:line="276"/>
              <w:jc w:val="left"/>
            </w:pPr>
            <w:r>
              <w:rPr>
                <w:rFonts w:ascii="Times New Roman" w:hAnsi="Times New Roman" w:cs="Times New Roman" w:eastAsia="Times New Roman"/>
                <w:b w:val="false"/>
                <w:sz w:val="26"/>
              </w:rPr>
              <w:t>16-04-2014</w:t>
            </w:r>
          </w:p>
        </w:tc>
        <w:tc>
          <w:p/>
          <w:p>
            <w:pPr>
              <w:spacing w:after="0" w:before="0" w:lineRule="auto" w:line="276"/>
              <w:jc w:val="left"/>
            </w:pPr>
            <w:r>
              <w:rPr>
                <w:rFonts w:ascii="Times New Roman" w:hAnsi="Times New Roman" w:cs="Times New Roman" w:eastAsia="Times New Roman"/>
                <w:b w:val="false"/>
                <w:sz w:val="26"/>
              </w:rPr>
              <w:t>Cục Quản lý giá -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năng lực hành vi dân sự, có lý lịch rõ ràng, có phẩm chất đạo đức nghề nghiệp, liêm khiết, trung thực, khách quan và có ý thức chấp hành pháp luật.
2. Có bằng tốt nghiệp đại học, sau đại học chuyên ngành vật giá, thẩm định giá, kinh tế, kinh tế - kỹ thuật, kỹ thuật, luật do các tổ chức đào tạo hợp pháp ở Việt Nam hoặc nước ngoài cấp. 
3. Có thời gian công tác thực tế từ 36 tháng trở lên tính từ ngày có bằng tốt nghiệp đại học đến ngày cuối của hạn nhận hồ sơ đăng ký dự thi theo chuyên ngành quy định tại khoản 2 Điều này.
4. Có Chứng chỉ đào tạo nghiệp vụ thẩm định giá còn thời hạn do cơ quan, tổ chức có chức năng đào tạo chuyên ngành thẩm định giá cấp theo quy định của Bộ Tài chính.
5. Người đăng ký dự thi lần đầu phải đăng ký dự thi tối thiểu 03/05 môn thi chuyên ngành quy định tại điểm a khoản 1 Điều 8 Thông tư số 46/2014/TT-BTC;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2026-05-15T16:19:28Z</dcterms:created>
  <dc:creator>Apache POI</dc:creator>
</cp:coreProperties>
</file>