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lần đầu đối với người nộp thuế là hộ gia đình, nhóm cá nhân, cá nhân kinh doanh đăng ký thông qua hồ sơ khai thuế, chưa có mã số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thuế, phí, lệ phí và thu khác của ngân sách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 gia đình, nhóm cá nhân, cá nhân kinh doanh thực hiện đăng ký thuế cùng với thời hạn nộp hồ sơ khai thuế lần đầu thì người nộp thuế (NNT) chuẩn bị hồ sơ đăng ký thuế đầy đủ theo đúng quy định sau đó gửi đến cơ quan thuế để làm thủ tục đăng ký thuế.</w:t>
      </w:r>
    </w:p>
    <w:p>
      <w:pPr>
        <w:spacing w:after="0" w:before="0" w:lineRule="auto" w:line="276"/>
        <w:jc w:val="both"/>
      </w:pPr>
      <w:r>
        <w:rPr>
          <w:rFonts w:ascii="Times New Roman" w:hAnsi="Times New Roman" w:cs="Times New Roman" w:eastAsia="Times New Roman"/>
          <w:b w:val="false"/>
          <w:sz w:val="26"/>
        </w:rPr>
        <w:t>Bước 2: Cơ quan thuế tiếp nhận:
++ Đối với hồ sơ đăng ký thuế bằng giấy:
 Trường hợp hồ sơ được nộp trực tiếp tại cơ quan thuế: công chức thuế tiếp nhận và đóng dấu tiếp nhận hồ sơ đăng ký thuế, ghi rõ thời điểm nhận hồ sơ, số lượng tài liệu theo bảng kê danh mục hồ sơ đăng ký thuế. Công chức thuế viết phiếu hẹn ngày trả kết quả đăng ký thuế, thời hạn trả kết quả không được quá số ngày quy định của Thông tư số 95/2016/TT-BTC ngày 28/6/2016 của Bộ Tài chính.
Trường hợp hồ sơ được gửi qua đường bưu chính: công chức thuế đóng dấu ghi ngày nhận hồ sơ và ghi vào sổ văn thư của cơ quan thuế.
Công chức thuế kiểm tra hồ sơ đăng ký thuế, trường hợp cần bổ sung hồ sơ, cơ quan thuế phải thông báo cho người nộp thuế ngay trong ngày làm việc (đối với hồ sơ nộp trực tiếp tại cơ quan thuế); trong thời hạn 02 (hai) ngày làm việc kể từ ngày nhận hồ sơ (đối với hồ sơ gửi qua đường bưu chính).
++ Đối với trường hợp hồ sơ đăng ký thuế điện tử: Cơ quan thuế tiếp nhận hồ sơ đăng ký thuế thực hiện theo quy định tại Thông tư số 110/2015/TT-BTC ngày 28/07/2015 của Bộ Tài chính hướng dẫn giao dịch điện tử trong lĩnh vực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thuế nhận được hồ sơ đăng ký thuế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đang ký thuế (DÙNG CHO HỘ GIA ĐÌNH, NHÓM CÁ NHÂN, CÁ NHÂN KINH DOANH)</w:t>
            </w:r>
          </w:p>
        </w:tc>
        <w:tc>
          <w:p/>
          <w:p>
            <w:pPr>
              <w:spacing w:after="0" w:before="0" w:lineRule="auto" w:line="276"/>
              <w:jc w:val="left"/>
            </w:pPr>
            <w:r>
              <w:rPr>
                <w:rFonts w:ascii="Times New Roman" w:hAnsi="Times New Roman" w:cs="Times New Roman" w:eastAsia="Times New Roman"/>
                <w:b w:val="false"/>
                <w:sz w:val="26"/>
              </w:rPr>
              <w:t>TỜ KHAI ĐĂNG KÝ THUẾ.docx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không yêu cầu chứng thực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không yêu cầu chứng thực Thẻ căn cước công dân hoặc Giấy chứng minh nhân dân còn hiệu lực (đối với cá nhân là người có quốc tịch Việt Nam); bản sao không yêu cầu chứng thực Hộ chiếu còn hiệu lực (đối với cá nhân là người có quốc tịch nước ngoài và người Việt Nam sống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Quận 1 - Bộ tài chính, Chi cục Thuế khu vực Quận 12 - huyện Hóc Môn - Bộ tài chính, Chi cục thuế thành phố Thủ Đức - Bộ tài chính, Chi cục thuế Quận 9 - Bộ tài chính, Chi cục thuế Quận Gò Vấp - Bộ tài chính, Chi cục thuế Quận Bình Thạnh - Bộ tài chính, Chi cục thuế Quận Tân Bình - Bộ tài chính, Chi cục thuế Quận Tân Phú - Bộ tài chính, Chi cục thuế Quận Phú Nhuận - Bộ tài chính, Chi cục thuế Quận 2 - Bộ tài chính, Chi cục thuế Quận 3 - Bộ tài chính, Chi cục thuế Quận 10 - Bộ tài chính, Chi cục thuế Quận 11 - Bộ tài chính, Chi cục thuế Quận 4 - Bộ tài chính, Chi cục thuế Quận 5 - Bộ tài chính, Chi cục thuế Quận 6 - Bộ tài chính, Chi cục thuế Quận 8 - Bộ tài chính, Chi cục thuế Quận Bình Tân - Bộ tài chính, Chi cục Thuế khu vực Quận 7 - huyện Nhà Bè - Bộ tài chính, Chi cục thuế Huyện Củ Chi - Bộ tài chính, Chi cục thuế Huyện Hóc Môn - Bộ tài chính, Chi cục thuế Huyện Bình Chánh - Bộ tài chính, Chi cục thuế Huyện Nhà Bè - Bộ tài chính, Chi cục thuế Huyện Cần Giờ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thuế quận/huyện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52/2016/QĐ-UBND</w:t>
            </w:r>
          </w:p>
        </w:tc>
        <w:tc>
          <w:p/>
          <w:p>
            <w:pPr>
              <w:spacing w:after="0" w:before="0" w:lineRule="auto" w:line="276"/>
              <w:jc w:val="left"/>
            </w:pPr>
            <w:r>
              <w:rPr>
                <w:rFonts w:ascii="Times New Roman" w:hAnsi="Times New Roman" w:cs="Times New Roman" w:eastAsia="Times New Roman"/>
                <w:b w:val="false"/>
                <w:sz w:val="26"/>
              </w:rPr>
              <w:t>52/2016/QĐ-UBND 52/2016/QĐ-UBND</w:t>
            </w:r>
          </w:p>
        </w:tc>
        <w:tc>
          <w:p/>
          <w:p>
            <w:pPr>
              <w:spacing w:after="0" w:before="0" w:lineRule="auto" w:line="276"/>
              <w:jc w:val="left"/>
            </w:pPr>
            <w:r>
              <w:rPr>
                <w:rFonts w:ascii="Times New Roman" w:hAnsi="Times New Roman" w:cs="Times New Roman" w:eastAsia="Times New Roman"/>
                <w:b w:val="false"/>
                <w:sz w:val="26"/>
              </w:rPr>
              <w:t>10-12-2016</w:t>
            </w:r>
          </w:p>
        </w:tc>
        <w:tc>
          <w:p/>
          <w:p>
            <w:pPr>
              <w:spacing w:after="0" w:before="0" w:lineRule="auto" w:line="276"/>
              <w:jc w:val="left"/>
            </w:pPr>
            <w:r>
              <w:rPr>
                <w:rFonts w:ascii="Times New Roman" w:hAnsi="Times New Roman" w:cs="Times New Roman" w:eastAsia="Times New Roman"/>
                <w:b w:val="false"/>
                <w:sz w:val="26"/>
              </w:rPr>
              <w:t>UBND Thành phố Hồ Chí Minh</w:t>
            </w:r>
          </w:p>
        </w:tc>
      </w:tr>
      <w:tr>
        <w:tc>
          <w:p/>
          <w:p>
            <w:pPr>
              <w:spacing w:after="0" w:before="0" w:lineRule="auto" w:line="276"/>
              <w:jc w:val="left"/>
            </w:pPr>
            <w:r>
              <w:rPr>
                <w:rFonts w:ascii="Times New Roman" w:hAnsi="Times New Roman" w:cs="Times New Roman" w:eastAsia="Times New Roman"/>
                <w:b w:val="false"/>
                <w:sz w:val="26"/>
              </w:rPr>
              <w:t>78/2006/QH11</w:t>
            </w:r>
          </w:p>
        </w:tc>
        <w:tc>
          <w:p/>
          <w:p>
            <w:pPr>
              <w:spacing w:after="0" w:before="0" w:lineRule="auto" w:line="276"/>
              <w:jc w:val="left"/>
            </w:pPr>
            <w:r>
              <w:rPr>
                <w:rFonts w:ascii="Times New Roman" w:hAnsi="Times New Roman" w:cs="Times New Roman" w:eastAsia="Times New Roman"/>
                <w:b w:val="false"/>
                <w:sz w:val="26"/>
              </w:rPr>
              <w:t>luật quản lý thuế</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83/2013/NĐ-CP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Quản lý thuế và Luật Sửa đổi, bổ sung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22-07-2013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95/2016/TT-BTC</w:t>
            </w:r>
          </w:p>
        </w:tc>
        <w:tc>
          <w:p/>
          <w:p>
            <w:pPr>
              <w:spacing w:after="0" w:before="0" w:lineRule="auto" w:line="276"/>
              <w:jc w:val="left"/>
            </w:pPr>
            <w:r>
              <w:rPr>
                <w:rFonts w:ascii="Times New Roman" w:hAnsi="Times New Roman" w:cs="Times New Roman" w:eastAsia="Times New Roman"/>
                <w:b w:val="false"/>
                <w:sz w:val="26"/>
              </w:rPr>
              <w:t>Hướng dẫn về đăng ký thuế</w:t>
            </w:r>
          </w:p>
        </w:tc>
        <w:tc>
          <w:p/>
          <w:p>
            <w:pPr>
              <w:spacing w:after="0" w:before="0" w:lineRule="auto" w:line="276"/>
              <w:jc w:val="left"/>
            </w:pPr>
            <w:r>
              <w:rPr>
                <w:rFonts w:ascii="Times New Roman" w:hAnsi="Times New Roman" w:cs="Times New Roman" w:eastAsia="Times New Roman"/>
                <w:b w:val="false"/>
                <w:sz w:val="26"/>
              </w:rPr>
              <w:t>28-06-2016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nhân/đại diện hộ gia đình là người Việt Nam phải kê khai các thông tin về họ và tên, ngày tháng năm sinh, số định danh cá nhân của mình chính xác so với các thông tin được lưu trữ tại Cơ sở dữ liệu quốc gia về dân cư, trường hợp chưa được cấp số định danh cá nhân thì cá nhân phải liên hệ với cơ quan Công an cấp xã để thu thập thông tin vào Cơ sở dữ liệu quốc gia về dân cư và cấp số định danh cá nhân trước khi thực hiện thủ tục đăng ký thuế.
+ 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2026-05-17T12:56:00Z</dcterms:created>
  <dc:creator>Apache POI</dc:creator>
</cp:coreProperties>
</file>