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xuất khẩu; thủ tục đối với phế liệu, phế phẩm được phép xuất khẩu ra nước ngoài; thủ tục xuất khẩu sản phẩm làm từ nguyên liệu nhập khẩu; thủ tục đối với phế liệu, phế phẩm của doanh nghiệp chế xuất được phép bán vào thị trường nội địa; thủ tục xuất khẩu sản phẩm gia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thực hiện việc khai báo hải quan và xuất trình hồ sơ hải quan (trong trường hợp phải kiểm tra hồ sơ), xuất trình thực tế hàng hóa (trong trường hợp phải kiểm tra thực tế hàng hóa) cho cơ quan hải quan.</w:t>
      </w:r>
    </w:p>
    <w:p>
      <w:pPr>
        <w:spacing w:after="0" w:before="0" w:lineRule="auto" w:line="276"/>
        <w:jc w:val="both"/>
      </w:pPr>
      <w:r>
        <w:rPr>
          <w:rFonts w:ascii="Times New Roman" w:hAnsi="Times New Roman" w:cs="Times New Roman" w:eastAsia="Times New Roman"/>
          <w:b w:val="false"/>
          <w:sz w:val="26"/>
        </w:rPr>
        <w:t>Bước 2: Cơ quan hải quan thực hiện việc kiểm tra hồ sơ, kiểm tra thực tế hàng hóa để quyết định thông quan hàng hóa cho người khai hải quan.
Trường hợp hàng hóa phải thực hiện vận chuyển kết hợp
a) Đối với hàng hóa xuất khẩu đã kiểm tra thực tế tại Chi cục Hải quan nơi đăng ký tờ khai, thuộc diện niêm phong hải quan
+ Trách nhiệm của Chi cục Hải quan nơi hàng hóa được vận chuyển đi: 
++ Niêm phong hàng hóa; cập nhật thông tin bàn giao hàng hóa vận chuyển đi chịu sự giám sát trên Hệ thống.
++ Bàn giao hàng hóa cho người khai hải quan để vận chuyển ra cửa khẩu xuất; Theo dõi về thông tin lô hàng vận chuyển chịu sự giám sát hải quan; Quá thời hạn vận chuyển hàng hóa mà hàng hóa chưa đến cửa khẩu xuất, có trách nhiệm chủ trì tổ chức truy tìm hàng hóa.
+ Trách nhiệm của Chi cục Hải quan nơi hàng hóa vận chuyển đến:
++ Tiếp nhận hàng hóa do người khai hải quan xuất trình;
++  Kiểm tra tình trạng niêm phong hải quan và đối chiếu với thông tin hàng hóa vận chuyển đi trên Hệ thống;
++ Cập nhật thông tin hàng hóa vận chuyển đến trên Hệ thống;
++ Phối hợp với Chi cục Hải quan nơi hàng hóa vận chuyển đi thực hiện truy tìm hàng hóa trong trường hợp quá thời hạn vận chuyển mà chưa đến địa điểm đến.
b) Đối với hàng hóa xuất khẩu không thuộc diện phải niêm phong hải quan: Người khai hải quan chịu trách nhiệm vận chuyển hàng hóa đến cửa khẩu xuất.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tiếp nhận, đăng ký, kiểm tra hồ sơ hải quan (Khoản 1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ngay sau khi người khai hải quan nộp, xuất trình hồ sơ hải quan đúng quy định của pháp luật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hoàn thành thành kiểm tra hồ sơ và kiểm tra thực tế hàng hóa, phương tiện vận tải (Khoản 2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kề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Việc kiểm tra phương tiện vận tải phải bảo đảm kịp thời việc xếp dỡ hàng hóa xuất khẩu, nhập khẩu, việc xuất cảnh, nhập cảnh của hành khách và bảo đảm việc kiểm tra, giám sát hải quan theo quy định của Luật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tiếp nhận, đăng ký, kiểm tra hồ sơ hải quan (Khoản 1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ngay sau khi người khai hải quan nộp, xuất trình hồ sơ hải quan đúng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hoàn thành thành kiểm tra hồ sơ và kiểm tra thực tế hàng hóa, phương tiện vận tải (Khoản 2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kề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Việc kiểm tra phương tiện vận tải phải bảo đảm kịp thời việc xếp dỡ hàng hóa xuất khẩu, nhập khẩu, việc xuất cảnh, nhập cảnh của hành khách và bảo đảm việc kiểm tra, giám sát hải quan theo quy định của Luật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theo các chỉ tiêu thông tin quy định tại mẫu số 02 Phụ lục II ban hành kèm Thông tư 38/2015/TT-BTC được sửa đổi, bổ sung tại Thông tư 39/2018/TT-BTC và Thông tư số 121/2025/TT-BTC. Trường hợp thực hiện trên tờ khai hải quan giấy theo quy định tại khoản 2 Điều 25 Nghị định số 08/2015/NĐ-CP được sửa đổi, bổ sung tại khoản 12 Điều 1 Nghị định số 167/2025/NĐ-CP ngày 30/06/2025 của Chính phủ, người khai hải quan khai và nộp 02 bản chính tờ khai hải quan theo mẫu HQ/2015/XK Phụ lục IV ban hành kèm Thông tư 38/2015/TT-BTC.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Hóa đơn thương mại hoặc chứng từ có giá trị tương đương trong trường hợp người mua phải thanh toán cho người bán. Trường hợp hóa đơn thương mại được cấp dưới dạng điện tử theo quy định tại điểm 2a Điều 8 Nghị định 123/2020/NĐ-CP ngày 19/10/2020 được sửa đổi, bổ sung bởi khoản 5 Điều 1 Nghị định 70/2025/NĐ-CP ngày 20/3/2025 của Chính phủ trước thời điểm khai báo hải quan thì người khai hải quan không phải nộp cho cơ quan hải quan khi làm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phép xuất khẩu hoặc văn bản cho phép xuất khẩu của cơ quan có thẩm quyền theo quy định pháp luật (sau đây gọi tắt là giấy phép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thông báo miễn kiểm tra hoặc giấy thông báo kết quả kiểm tra chuyên ngành hoặc chứng từ khác theo quy định của pháp luật (sau đây gọi tắt là Giấy chứng nhận kiểm tra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Chứng từ chứng minh tổ chức, cá nhân đủ điều kiện xuất khẩu hàng hóa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Hợp đồng ủy thác đối với trường hợp ủy thác xuất khẩu hàng hóa thuộc diện phải có các chứng từ quy định tại điểm c, điểm d, điểm đ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Đối với hàng hóa xuất khẩu của thương nhân nước ngoài không có hiện diện tại Việt Nam thực hiện quyền xuất khẩu: Giấy chứng nhận đăng ký quyền xuất khẩu của thương nhân nước ngoài không có hiện diện tại Việt Nam do Bộ Công Thương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doanh nghiệp có vốn đầu tư nước ngoài thực hiện quyền xuất khẩu: Giấy chứng nhận đầu tư về hoạt động mua bán hàng hóa và các hoạt động liên quan đến mua bán hàng hóa của thương nhân có vốn đầu tư nước ngoài có đăng ký quyền xuất khẩu; Trường hợp không phải thực hiện cấp Giấy chứng nhận đầu tư thì nộp chứng từ tương đương. Trường hợp thực hiện thủ tục hải quan tại cùng một cơ quan hải quan thì người khai hải quan chỉ phải nộp các chứng từ quy định tại điểm g và điểm h khoản này lần đầu khi làm thủ tục hải quan.  Trường hợp các chứng từ đã được cấp trên Cổng thông tin một cửa quốc gia hoặc trên Cổng dịch vụ công trực tuyến hoặc cơ quan có thẩm quyền ở nước xuất khẩu gửi dưới dạng điện tử thông qua Cổng thông tin một cửa ASEAN hoặc Cổng thông tin trao đổi với các nước khác theo quy định của Điều ước quốc tế mà nước Cộng hòa xã hội chủ nghĩa Việt Nam là thành viên thì người khai hải quan không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60/2019/TT-BTC</w:t>
            </w:r>
          </w:p>
        </w:tc>
        <w:tc>
          <w:p/>
          <w:p>
            <w:pPr>
              <w:spacing w:after="0" w:before="0" w:lineRule="auto" w:line="276"/>
              <w:jc w:val="left"/>
            </w:pPr>
            <w:r>
              <w:rPr>
                <w:rFonts w:ascii="Times New Roman" w:hAnsi="Times New Roman" w:cs="Times New Roman" w:eastAsia="Times New Roman"/>
                <w:b w:val="false"/>
                <w:sz w:val="26"/>
              </w:rPr>
              <w:t>Thông tư số 60/2019/TT-BTC ngày 30/8/2019 sửa đổi, bổ sung một số điều của Thông tư số 39/2015/TT-BTC ngày 25/3/2015 của Bộ Tài chính quy định về trị giá hải quan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30-08-2019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86/2025/TT-BTC</w:t>
            </w:r>
          </w:p>
        </w:tc>
        <w:tc>
          <w:p/>
          <w:p>
            <w:pPr>
              <w:spacing w:after="0" w:before="0" w:lineRule="auto" w:line="276"/>
              <w:jc w:val="left"/>
            </w:pPr>
            <w:r>
              <w:rPr>
                <w:rFonts w:ascii="Times New Roman" w:hAnsi="Times New Roman" w:cs="Times New Roman" w:eastAsia="Times New Roman"/>
                <w:b w:val="false"/>
                <w:sz w:val="26"/>
              </w:rPr>
              <w:t>Thông tư số 86/2025/TT-BTC của Bộ Tài chính: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2026-05-21T20:43:56Z</dcterms:created>
  <dc:creator>Apache POI</dc:creator>
</cp:coreProperties>
</file>