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nhập khẩu; thủ tục hải quan đối với nguyên liệu, vật tư do bên nhận gia công tự cung ứng cho hợp đồng gia công; thủ tục nhập khẩu nguyên liệu, vật tư để thực hiện hợp đồng gia công cho thương nhân nước ngoài; thủ tục nhập khẩu nguyên liệu, vật tư để sản xuất hàng hóa xuất khẩu; thủ tục nhập khẩu sản phẩm đặt gia công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hải quan thực hiện việc khai báo hải quan và xuất trình hồ sơ hải quan (trong trường hợp phải kiểm tra hồ sơ), xuất trình thực tế hàng hóa (trong trường hợp phải kiểm tra thực tế hàng hóa) cho cơ quan hải quan.</w:t>
      </w:r>
    </w:p>
    <w:p>
      <w:pPr>
        <w:spacing w:after="0" w:before="0" w:lineRule="auto" w:line="276"/>
        <w:jc w:val="both"/>
      </w:pPr>
      <w:r>
        <w:rPr>
          <w:rFonts w:ascii="Times New Roman" w:hAnsi="Times New Roman" w:cs="Times New Roman" w:eastAsia="Times New Roman"/>
          <w:b w:val="false"/>
          <w:sz w:val="26"/>
        </w:rPr>
        <w:t>Bước 2: Cơ quan hải quan thực hiện việc kiểm tra hồ sơ, kiểm tra thực tế hàng hóa để quyết định thông quan hàng hóa cho người khai hải quan.
Trường hợp hàng hóa phải thực hiện vận chuyển kết hợp
a) Đối với hàng hóa nhập khẩu được đưa về kiểm tra tại địa điểm kiểm tra ngoài cửa khẩu, hàng hóa thuộc diện phải niêm phong hải quan:
+ Chi cục Hải quan nơi đăng ký tờ khai thực hiện:
++ Cập nhật thông tin trên hệ thống để đề nghị Chi cục Hải quan nơi lưu giữ hàng hóa niêm phong, bàn giao cho người khai hải quan vận chuyển về địa điểm kiểm tra;
+ +Tiếp nhận hàng hóa do người khai hải quan vận chuyển đến, kiểm tra tình trạng niêm phong hàng hóa và đối chiếu với thông tin hàng hóa vận chuyển đi trên Hệ thống;
+ +Cập nhật thông tin hàng đến trên Hệ thống;
++ Theo dõi thông tin hàng hóa vận chuyển, phối hợp với Chi cục Hải quan nơi lưu giữ hàng hóa để truy tìm trong trường hợp quá thời hạn vận chuyển nhưng hàng hóa chưa đến địa điểm kiểm tra.
+ Chi cục Hải quan nơi lưu giữ hàng hóa thực hiện: 
++ Căn cứ đề nghị của Chi cục Hải quan nơi đăng ký tờ khai, thực hiện niêm phong, cập nhật thông tin hàng hóa vận chuyển đi vào hệ thống; bàn giao hàng hóa cho người khai hải quan vận chuyển về địa điểm kiểm tra;
++ Theo dõi thông tin hàng hóa vận chuyển đi, chủ trì truy tìm trong trường hợp quá thời hạn vận chuyển nhưng hàng hóa chưa đến địa điểm kiểm tra.
b)  Đối với hàng hóa nhập khẩu không thuộc diện phải niêm phong hải quan:
Người khai hải quan thực hiện thủ tục hải quan theo quy định và đưa hàng qua khu vực giám sát tại cửa khẩu sau khi được cơ quan hải quan cho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tiếp nhận, đăng ký, kiểm tra hồ sơ hải quan (Khoản 1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ngay sau khi người khai hải quan nộp, xuất trình hồ sơ hải quan đúng quy định của pháp luật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hoàn thành thành kiểm tra hồ sơ và kiểm tra thực tế hàng hóa, phương tiện vận tải (Khoản 2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
+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Việc kiểm tra phương tiện vận tải phải bảo đảm kịp thời việc xếp dỡ hàng hóa xuất khẩu, nhập khẩu, việc xuất cảnh, nhập cảnh của hành khách và bảo đảm việc kiểm tra, giám sát hải quan theo quy định của Luật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tiếp nhận, đăng ký, kiểm tra hồ sơ hải quan (Khoản 1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ngay sau khi người khai hải quan nộp, xuất trình hồ sơ hải quan đúng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hoàn thành thành kiểm tra hồ sơ và kiểm tra thực tế hàng hóa, phương tiện vận tải (Khoản 2 Điều 23 Luật Hải quan) </w:t>
            </w:r>
          </w:p>
        </w:tc>
        <w:tc>
          <w:p/>
          <w:p>
            <w:pPr>
              <w:spacing w:after="0" w:before="0" w:lineRule="auto" w:line="276"/>
              <w:jc w:val="left"/>
            </w:pPr>
            <w:r>
              <w:rPr>
                <w:rFonts w:ascii="Times New Roman" w:hAnsi="Times New Roman" w:cs="Times New Roman" w:eastAsia="Times New Roman"/>
                <w:b w:val="false"/>
                <w:sz w:val="26"/>
              </w:rPr>
              <w:t>Phí : 20.000 Đồng</w:t>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
+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Việc kiểm tra phương tiện vận tải phải bảo đảm kịp thời việc xếp dỡ hàng hóa xuất khẩu, nhập khẩu, việc xuất cảnh, nhập cảnh của hành khách và bảo đảm việc kiểm tra, giám sát hải quan theo quy định của Luật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hải quan mẫu số 01 Phụ lục II ban hành kèm Thông tư 38/2015/TT-BTC được sửa đổi, bổ sung tại Phụ lục I Thông tư 39/2018/TT-BTC và Phụ lục I Thông tư số 121/2025/TT-BTC.  Trường hợp thực hiện trên tờ khai hải quan giấy theo quy định tại khoản 2 Điều 25 Nghị định số 08/2015/NĐ-CP được sửa đổi, bổ sung tại khoản 12 Điều 1 Nghị định số 167/2025/NĐ-CP ngày 30/06/2025 của Chính phủ, người khai hải quan khai và nộp 02 bản chính tờ khai hải quan theo mẫu HQ/2015/NK Phụ lục IV ban hành kèm Thông tư 38/2015/TT-BTC.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Hóa đơn thương mại hoặc chứng từ có giá trị tương đương trong trường hợp người mua phải thanh toán cho người bán. Trường hợp chủ hàng mua hàng từ người bán tại Việt Nam nhưng được người bán chỉ định nhận hàng từ nước ngoài thì cơ quan hải quan chấp nhận hóa đơn thương mại do người bán tại Việt Nam phát hành cho chủ hàng. Người khai hải quan không phải nộp hóa đơn thương mại trong các trường hợp sau: b.1) Hàng hóa nhập khẩu để thực hiện hợp đồng gia công cho thương nhân nước ngoài; b.2) Hàng hóa nhập khẩu không có hóa đơn và người mua không phải thanh toán cho người bán.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Vận đơn hoặc các chứng từ vận tải khác có giá trị tương đương (có các thông tin cơ bản sau: tên, địa chỉ người gửi hàng, người nhận hàng; tên hàng, số lượng, trọng lượng; địa điểm xếp hàng lên phương tiện, địa điểm dỡ hàng; số hiệu phương tiện vận chuyển; tên người vận chuyển, thời gian, địa điểm phát hành chứng từ vận tải) đối với trường hợp hàng hóa vận chuyển bằng đường biển, đường hàng không, đường sắt, đường thủy nội địa, vận tải đa phương thức theo quy định của pháp luật (trừ hàng hóa nhập khẩu qua cửa khẩu biên giới đường bộ, hàng hóa gửi qua dịch vụ bưu chính, chuyển phát nhanh, hàng hoá mua bán giữa khu phi thuế quan và nội địa, hàng hóa nhập khẩu do người nhập cảnh mang theo đường hành lý) (sau đây gọi tắt là vận đơn). Đối với hàng hóa nhập khẩu phục vụ cho hoạt động thăm dò, khai thác dầu khí vận chuyển trên các tàu dịch vụ (không phải là tàu thương mại) thì nộp bản khai hàng hóa (cargo manifest) thay cho vận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phép nhập khẩu hoặc văn bản cho phép nhập khẩu của cơ quan có thẩm quyền theo quy định của pháp luật; Giấy phép nhập khẩu theo hạn ngạch hoặc văn bản thông báo giao quyền sử dụng hạn ngạch thuế quan nhập khẩu (sau đây gọi tắt là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chứng nhận kiểm tra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Chứng từ chứng minh tổ chức, cá nhân đủ điều kiện nhập khẩu hàng hóa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Tờ khai trị giá: Người khai hải quan khai tờ khai trị giá theo mẫu, gửi đến Hệ thống dưới dạng dữ liệu điện tử hoặc nộp cho cơ quan hải quan 02 bản chính đối với trường hợp khai trên tờ khai hải quan giấy. Các trường hợp phải khai tờ khai trị giá và mẫu tờ khai trị giá thực hiện theo quy định tại Thông tư số 39/2015/TT-BTC ngày 25/3/2015 của Bộ trưởng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Chứng từ chứng nhận xuất xứ hàng hóa theo quy định tại Thông tư của Bộ trưởng Bộ Tài chính quy định về xác định xuất xứ hàng hóa xuất khẩu,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Danh mục máy móc thiết bị nhập khẩu kèm Phiếu theo dõi trừ lùi trong trường hợp phân loại máy liên hợp hoặc tổ hợp máy thuộc các Chương 84, 85 và 90 của Danh mục hàng hóa xuất khẩu, nhập khẩu Việt Nam và phân loại máy móc, thiết bị ở dạng chưa lắp ráp hoặc tháo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Hợp đồng ủy thác đối với trường hợp ủy thác nhập khẩu hàng hóa thuộc diện phải có các chứng từ quy định tại điểm d, điểm đ, điểm e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Đối với hàng hóa nhập khẩu của thương nhân nước ngoài không có hiện diện tại Việt Nam thực hiện quyền nhập khẩu: Giấy chứng nhận đăng ký quyền xuất khẩu, nhập khẩu của thương nhân nước ngoài không có hiện diện tại Việt Nam do Bộ Công Thương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Đối với doanh nghiệp có vốn đầu tư nước ngoài thực hiện quyền nhập khẩu: Giấy chứng nhận đầu tư về hoạt động mua bán hàng hóa và các hoạt động liên quan đến mua bán hàng hóa của thương nhân có vốn đầu tư nước ngoài có đăng ký quyền xuất khẩu, quyền nhập khẩu; Trường hợp không phải thực hiện cấp Giấy chứng nhận đầu tư thì nộp chứng từ tương đương.  Trường hợp thực hiện thủ tục hải quan tại cùng một cơ quan hải quan thì người khai hải quan chỉ phải nộp các chứng từ quy định tại điểm l và điểm m khoản này lần đầu khi làm thủ tục hải quan. Người khai phải khai tại ô “Số giấy phép” trên tờ khai hải quan điện tử đối với các chứng từ nêu tại điểm l, điểm m khoản này. Trường hợp các chứng từ đã được cấp trên Cổng thông tin một cửa quốc gia hoặc trên Cổng dịch vụ công trực tuyến hoặc cơ quan có thẩm quyền ở nước xuất khẩu gửi dưới dạng điện tử thông qua Cổng thông tin một cửa ASEAN hoặc Cổng thông tin trao đổi với các nước khác theo quy định của Điều ước quốc tế mà nước Cộng hòa xã hội chủ nghĩa Việt Nam là thành viên thì người khai hải quan không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20/2023/QH15</w:t>
            </w:r>
          </w:p>
        </w:tc>
        <w:tc>
          <w:p/>
          <w:p>
            <w:pPr>
              <w:spacing w:after="0" w:before="0" w:lineRule="auto" w:line="276"/>
              <w:jc w:val="left"/>
            </w:pPr>
            <w:r>
              <w:rPr>
                <w:rFonts w:ascii="Times New Roman" w:hAnsi="Times New Roman" w:cs="Times New Roman" w:eastAsia="Times New Roman"/>
                <w:b w:val="false"/>
                <w:sz w:val="26"/>
              </w:rPr>
              <w:t>Luật Giao dịch điện tử năm 2023</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39/2015/TT-BTC</w:t>
            </w:r>
          </w:p>
        </w:tc>
        <w:tc>
          <w:p/>
          <w:p>
            <w:pPr>
              <w:spacing w:after="0" w:before="0" w:lineRule="auto" w:line="276"/>
              <w:jc w:val="left"/>
            </w:pPr>
            <w:r>
              <w:rPr>
                <w:rFonts w:ascii="Times New Roman" w:hAnsi="Times New Roman" w:cs="Times New Roman" w:eastAsia="Times New Roman"/>
                <w:b w:val="false"/>
                <w:sz w:val="26"/>
              </w:rPr>
              <w:t>Thông tư số 39/2015/TT-BTC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 60/2019/TT-BTC</w:t>
            </w:r>
          </w:p>
        </w:tc>
        <w:tc>
          <w:p/>
          <w:p>
            <w:pPr>
              <w:spacing w:after="0" w:before="0" w:lineRule="auto" w:line="276"/>
              <w:jc w:val="left"/>
            </w:pPr>
            <w:r>
              <w:rPr>
                <w:rFonts w:ascii="Times New Roman" w:hAnsi="Times New Roman" w:cs="Times New Roman" w:eastAsia="Times New Roman"/>
                <w:b w:val="false"/>
                <w:sz w:val="26"/>
              </w:rPr>
              <w:t>Thông tư số 60/2019/TT-BTC ngày 30/8/2019 sửa đổi, bổ sung một số điều của Thông tư số 39/2015/TT-BTC ngày 25/3/2015 của Bộ Tài chính quy định về trị giá hải quan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30-08-2019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165/2018/NĐ-CP</w:t>
            </w:r>
          </w:p>
        </w:tc>
        <w:tc>
          <w:p/>
          <w:p>
            <w:pPr>
              <w:spacing w:after="0" w:before="0" w:lineRule="auto" w:line="276"/>
              <w:jc w:val="left"/>
            </w:pPr>
            <w:r>
              <w:rPr>
                <w:rFonts w:ascii="Times New Roman" w:hAnsi="Times New Roman" w:cs="Times New Roman" w:eastAsia="Times New Roman"/>
                <w:b w:val="false"/>
                <w:sz w:val="26"/>
              </w:rPr>
              <w:t>Nghị định 165/2018/NĐ-CP</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86/2025/TT-BTC</w:t>
            </w:r>
          </w:p>
        </w:tc>
        <w:tc>
          <w:p/>
          <w:p>
            <w:pPr>
              <w:spacing w:after="0" w:before="0" w:lineRule="auto" w:line="276"/>
              <w:jc w:val="left"/>
            </w:pPr>
            <w:r>
              <w:rPr>
                <w:rFonts w:ascii="Times New Roman" w:hAnsi="Times New Roman" w:cs="Times New Roman" w:eastAsia="Times New Roman"/>
                <w:b w:val="false"/>
                <w:sz w:val="26"/>
              </w:rPr>
              <w:t>Thông tư số 86/2025/TT-BTC của Bộ Tài chính: Quy định mức thu, chế độ thu, nộp, quản lý và sử dụng phí hải quan và lệ phí hàng hóa, phương tiện vận tải quá cảnh</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2026-05-18T12:36:01Z</dcterms:created>
  <dc:creator>Apache POI</dc:creator>
</cp:coreProperties>
</file>