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hàng hóa xuất khẩu, nhập khẩu tại chỗ</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xuất khẩu</w:t>
      </w:r>
    </w:p>
    <w:p>
      <w:pPr>
        <w:spacing w:after="0" w:before="0" w:lineRule="auto" w:line="276"/>
        <w:jc w:val="both"/>
      </w:pPr>
      <w:r>
        <w:rPr>
          <w:rFonts w:ascii="Times New Roman" w:hAnsi="Times New Roman" w:cs="Times New Roman" w:eastAsia="Times New Roman"/>
          <w:b w:val="false"/>
          <w:sz w:val="26"/>
        </w:rPr>
        <w:t>+ Bước 1: Khai thông tin tờ khai hàng hóa xuất khẩu và khai vận chuyển kết hợp, trong đó ghi rõ vào ô “Điểm đích cho vận chuyển bảo thuế” là mã địa điểm của Chi cục Hải quan làm thủ tục hải quan nhập khẩu;</w:t>
      </w:r>
    </w:p>
    <w:p>
      <w:pPr>
        <w:spacing w:after="0" w:before="0" w:lineRule="auto" w:line="276"/>
        <w:jc w:val="both"/>
      </w:pPr>
      <w:r>
        <w:rPr>
          <w:rFonts w:ascii="Times New Roman" w:hAnsi="Times New Roman" w:cs="Times New Roman" w:eastAsia="Times New Roman"/>
          <w:b w:val="false"/>
          <w:sz w:val="26"/>
        </w:rPr>
        <w:t>+ Bước 2: Thực hiện thủ tục xuất khẩu hàng hóa theo quy định;</w:t>
      </w:r>
    </w:p>
    <w:p>
      <w:pPr>
        <w:spacing w:after="0" w:before="0" w:lineRule="auto" w:line="276"/>
        <w:jc w:val="both"/>
      </w:pPr>
      <w:r>
        <w:rPr>
          <w:rFonts w:ascii="Times New Roman" w:hAnsi="Times New Roman" w:cs="Times New Roman" w:eastAsia="Times New Roman"/>
          <w:b w:val="false"/>
          <w:sz w:val="26"/>
        </w:rPr>
        <w:t>+ Bước 3: Giao hàng hóa cho người nhập khẩu sau khi hàng hóa xuất khẩu đã được thông quan.</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nhập khẩu</w:t>
      </w:r>
    </w:p>
    <w:p>
      <w:pPr>
        <w:spacing w:after="0" w:before="0" w:lineRule="auto" w:line="276"/>
        <w:jc w:val="both"/>
      </w:pPr>
      <w:r>
        <w:rPr>
          <w:rFonts w:ascii="Times New Roman" w:hAnsi="Times New Roman" w:cs="Times New Roman" w:eastAsia="Times New Roman"/>
          <w:b w:val="false"/>
          <w:sz w:val="26"/>
        </w:rPr>
        <w:t>+ Bước 1: Khai thông tin tờ khai hàng hóa nhập khẩu theo đúng thời hạn quy định trong đó ghi rõ số tờ khai hàng hóa xuất khẩu tại chỗ tương ứng tại ô “Phần ghi chú” trên tờ khai hàng hóa nhập khẩu hoặc ô “Ghi chép khác” trên tờ khai hải quan giấy;</w:t>
      </w:r>
    </w:p>
    <w:p>
      <w:pPr>
        <w:spacing w:after="0" w:before="0" w:lineRule="auto" w:line="276"/>
        <w:jc w:val="both"/>
      </w:pPr>
      <w:r>
        <w:rPr>
          <w:rFonts w:ascii="Times New Roman" w:hAnsi="Times New Roman" w:cs="Times New Roman" w:eastAsia="Times New Roman"/>
          <w:b w:val="false"/>
          <w:sz w:val="26"/>
        </w:rPr>
        <w:t>+ Bước 2: Thực hiện thủ tục nhập khẩu hàng hóa theo quy định;</w:t>
      </w:r>
    </w:p>
    <w:p>
      <w:pPr>
        <w:shd w:val="clear" w:color="auto" w:fill="F2F6F9"/>
        <w:spacing w:after="0" w:before="120" w:lineRule="auto" w:line="276"/>
        <w:jc w:val="both"/>
      </w:pPr>
      <w:r>
        <w:rPr>
          <w:rFonts w:ascii="Times New Roman" w:hAnsi="Times New Roman" w:cs="Times New Roman" w:eastAsia="Times New Roman"/>
          <w:b w:val="true"/>
          <w:sz w:val="26"/>
        </w:rPr>
        <w:t>Đối với cơ quan Hải quan làm thủ tục nhập khẩu:</w:t>
      </w:r>
    </w:p>
    <w:p>
      <w:pPr>
        <w:spacing w:after="0" w:before="0" w:lineRule="auto" w:line="276"/>
        <w:jc w:val="both"/>
      </w:pPr>
      <w:r>
        <w:rPr>
          <w:rFonts w:ascii="Times New Roman" w:hAnsi="Times New Roman" w:cs="Times New Roman" w:eastAsia="Times New Roman"/>
          <w:b w:val="false"/>
          <w:sz w:val="26"/>
        </w:rPr>
        <w:t>+ Bước 1: Theo dõi những tờ khai hàng hóa xuất khẩu tại chỗ đã hoàn thành thủ tục hải quan để thực hiện thủ tục hải quan đối với hàng hóa nhập khẩu;</w:t>
      </w:r>
    </w:p>
    <w:p>
      <w:pPr>
        <w:spacing w:after="0" w:before="0" w:lineRule="auto" w:line="276"/>
        <w:jc w:val="both"/>
      </w:pPr>
      <w:r>
        <w:rPr>
          <w:rFonts w:ascii="Times New Roman" w:hAnsi="Times New Roman" w:cs="Times New Roman" w:eastAsia="Times New Roman"/>
          <w:b w:val="false"/>
          <w:sz w:val="26"/>
        </w:rPr>
        <w:t>+ Bước 2: Tiếp nhận, kiểm tra theo kết quả phân luồng của Hệ thống.</w:t>
      </w:r>
    </w:p>
    <w:p>
      <w:pPr>
        <w:spacing w:after="0" w:before="0" w:lineRule="auto" w:line="276"/>
        <w:jc w:val="both"/>
      </w:pPr>
      <w:r>
        <w:rPr>
          <w:rFonts w:ascii="Times New Roman" w:hAnsi="Times New Roman" w:cs="Times New Roman" w:eastAsia="Times New Roman"/>
          <w:b w:val="false"/>
          <w:sz w:val="26"/>
        </w:rPr>
        <w:t xml:space="preserve">+ Bước 3: Đối với hàng hóa xuất khẩu, nhập khẩu tại chỗ theo chỉ định của thương nhân nước ngoài thì hàng tháng tổng hợp và lập danh sách các tờ khai hàng hóa nhập khẩu tại chỗ đã được thông quan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thông quan hàng hóa xuất khẩu và sau khi hoàn thành việc giao nhận hàng hóa, người nhập khẩu tại chỗ phải làm thủ tục hải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hàng hóa nhập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hàng hóa nhập khẩu theo các chỉ tiêu thông tin tại Phụ lục II ban hành kèm Thông tư số 38/2015/TT-BTC.</w:t>
            </w:r>
          </w:p>
        </w:tc>
        <w:tc>
          <w:p/>
          <w:p>
            <w:pPr>
              <w:spacing w:after="0" w:before="0" w:lineRule="auto" w:line="276"/>
              <w:jc w:val="left"/>
            </w:pPr>
            <w:r>
              <w:rPr>
                <w:rFonts w:ascii="Times New Roman" w:hAnsi="Times New Roman" w:cs="Times New Roman" w:eastAsia="Times New Roman"/>
                <w:b w:val="false"/>
                <w:sz w:val="26"/>
              </w:rPr>
              <w:t>PHỤ LỤC II- chỉ tiêu thông tin khai báo đối với hàng nhập khẩu.docx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thực hiện trên tờ khai hải quan giấy theo quy định tại khoản 2 Điều 25 Nghị định số 08/2015/NĐ-CP, người khai hải quan khai và nộp 02 bản chính tờ khai hàng hóa nhập khẩu theo mẫu HQ/2015/NK Phụ lục IV ban hành kèm Thông tư số 38/2015/TT-BTC;</w:t>
            </w:r>
          </w:p>
        </w:tc>
        <w:tc>
          <w:p/>
          <w:p>
            <w:pPr>
              <w:spacing w:after="0" w:before="0" w:lineRule="auto" w:line="276"/>
              <w:jc w:val="left"/>
            </w:pPr>
            <w:r>
              <w:rPr>
                <w:rFonts w:ascii="Times New Roman" w:hAnsi="Times New Roman" w:cs="Times New Roman" w:eastAsia="Times New Roman"/>
                <w:b w:val="false"/>
                <w:sz w:val="26"/>
              </w:rPr>
              <w:t>Mautokhaihaiquan nhập khẩu TT382015 - Phụ lục IV Thông tư số 38.2015.TT-BTC.doc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Hóa đơn thương mại trong trường hợp người mua phải thanh toán cho người bán: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Vận tải đơn hoặc các chứng từ vận tải khác có giá trị tương đương đối với trường hợp hàng hóa vận chuyển bằng đường biển, đường hàng không, đường sắt, vận tải đa phương thức theo quy định của pháp luật (trừ hàng hoá nhập khẩu qua cửa khẩu biên giới đường bộ, hàng hoá mua bán giữa khu phi thuế quan và nội địa, hàng hóa nhập khẩu do người nhập cảnh mang theo đường hành lý):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nhập khẩu đối với hàng hóa phải có giấy phép nhập khẩu; Giấy phép nhập khẩu theo hạn ngạch thuế quan: 01 bản chính nếu xuất khẩu một lần hoặc 01 bản chụp kèm theo Phiếu theo dõi trừ lùi nếu xuất khẩu nhiều lần;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thông báo miễn kiểm tra hoặc Giấy thông báo kết quả kiểm tra của cơ quan kiểm tra chuyên ngành theo quy định của pháp luật: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chứng từ Giấy phép nhập khẩu đối với hàng hóa phải có giấy phép nhập khẩu; Giấy phép nhập khẩu theo hạn ngạch thuế quan; Giấy thông báo miễn kiểm tra hoặc Giấy thông báo kết quả kiểm tra của cơ quan kiểm tra chuyên ngành theo quy định của pháp luật, nếu áp dụng cơ chế một cửa quốc gia, cơ quan quản lý nhà nước chuyên ngành gửi giấy phép nhập khẩu, văn bản thông báo kết quả kiểm tra, miễn kiểm tra chuyên ngành dưới dạng điện tử thông qua Cổng thông tin một cửa quốc gia, người khai hải quan không phải nộp khi làm thủ tục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trị giá: Người khai hải quan khai tờ khai trị giá theo mẫu, gửi đến Hệ thống dưới dạng dữ liệu điện tử hoặc nộp cho cơ quan hải quan 02 bản chính (đối với trường hợp khai trên tờ khai hải quan giấy). Các trường hợp phải khai tờ khai trị giá và mẫu tờ khai trị giá thực hiện theo Thông tư của Bộ Tài chính quy định về việc xác định trị giá hải quan đối với hàng hóa xuất khẩu,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chứng nhận xuất xứ hàng hóa (Giấy chứng nhận xuất xứ hàng hóa hoặc Chứng từ tự chứng nhận xuất xứ): 01 bản chính hoặc chứng từ dưới dạng dữ liệu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hàng hóa xuất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hàng hóa xuất khẩu theo các chỉ tiêu thông tin tại Phụ lục II ban hành kèm Thông tư này.</w:t>
            </w:r>
          </w:p>
        </w:tc>
        <w:tc>
          <w:p/>
          <w:p>
            <w:pPr>
              <w:spacing w:after="0" w:before="0" w:lineRule="auto" w:line="276"/>
              <w:jc w:val="left"/>
            </w:pPr>
            <w:r>
              <w:rPr>
                <w:rFonts w:ascii="Times New Roman" w:hAnsi="Times New Roman" w:cs="Times New Roman" w:eastAsia="Times New Roman"/>
                <w:b w:val="false"/>
                <w:sz w:val="26"/>
              </w:rPr>
              <w:t>PHỤ LỤC II- chỉ tiêu thông tin khai báo đối với hàng xuất khẩu.docx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thực hiện trên tờ khai hải quan giấy theo quy định tại khoản 2 Điều 25 Nghị định số 08/2015/NĐ-CP, người khai hải quan khai và nộp 02 bản chính tờ khai hàng hóa xuất khẩu theo mẫu HQ/2015/XK Phụ lục IV ban hành kèm Thông tư này;</w:t>
            </w:r>
          </w:p>
        </w:tc>
        <w:tc>
          <w:p/>
          <w:p>
            <w:pPr>
              <w:spacing w:after="0" w:before="0" w:lineRule="auto" w:line="276"/>
              <w:jc w:val="left"/>
            </w:pPr>
            <w:r>
              <w:rPr>
                <w:rFonts w:ascii="Times New Roman" w:hAnsi="Times New Roman" w:cs="Times New Roman" w:eastAsia="Times New Roman"/>
                <w:b w:val="false"/>
                <w:sz w:val="26"/>
              </w:rPr>
              <w:t>Mautokhaihaiquan xuất khẩu TT382015 - Phụ lục IV Thông tư số 38.2015.TT-BTC.doc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xuất khẩu đối với hàng hóa phải có giấy phép xuất khẩu: 01 bản chính nếu xuất khẩu một lần hoặc 01 bản chụp kèm theo Phiếu theo dõi trừ lùi nếu xuất khẩu nhiều lần;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thông báo miễn kiểm tra hoặc giấy thông báo kết quả kiểm tra của cơ quan kiểm tra chuyên ngành theo quy định của pháp luật: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quan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2026-05-19T12:37:55Z</dcterms:created>
  <dc:creator>Apache POI</dc:creator>
</cp:coreProperties>
</file>