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cho công dân Việt Nam được phong phẩm, bổ nhiệm, bầu cử, suy cử ở nước ngoài về Việt Nam làm chức sắc, chức việc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dân Việt Nam được tổ chức tôn giáo nước ngoài phong phẩm, bổ nhiệm, bầu cử, suy cử ở nước ngoài khi về Việt Nam làm chức sắc, chức việc thì tổ chức tôn giáo hoặc tổ chức tôn giáo trực thuộc quản lý trực tiếp gửi hồ sơ đăng ký đến Ban Tôn giáo Chính phủ.</w:t>
      </w:r>
    </w:p>
    <w:p>
      <w:pPr>
        <w:spacing w:after="0" w:before="0" w:lineRule="auto" w:line="276"/>
        <w:jc w:val="both"/>
      </w:pPr>
      <w:r>
        <w:rPr>
          <w:rFonts w:ascii="Times New Roman" w:hAnsi="Times New Roman" w:cs="Times New Roman" w:eastAsia="Times New Roman"/>
          <w:b w:val="false"/>
          <w:sz w:val="26"/>
        </w:rPr>
        <w:t>Bước 2: Ban Tôn giáo Chính phủ xem xét hồ sơ, trường hợp hồ sơ chưa đầy đủ, hợp lệ, Ban Tôn giáo Chính phủ thông báo qua mạng Internet hoặc văn bản cho tổ chức để hoàn chỉnh hồ sơ.</w:t>
      </w:r>
    </w:p>
    <w:p>
      <w:pPr>
        <w:spacing w:after="0" w:before="0" w:lineRule="auto" w:line="276"/>
        <w:jc w:val="both"/>
      </w:pPr>
      <w:r>
        <w:rPr>
          <w:rFonts w:ascii="Times New Roman" w:hAnsi="Times New Roman" w:cs="Times New Roman" w:eastAsia="Times New Roman"/>
          <w:b w:val="false"/>
          <w:sz w:val="26"/>
        </w:rPr>
        <w:t>Bước 3: Ban Tôn giáo Chính phủ phối hợp với các cơ quan liên quan (nếu cần) thẩm định hồ sơ, chấp thuận hoặc không chấp thuận đăng ký cho công dân Việt Nam được phong phẩm, bổ nhiệm, bầu cử, suy cử ở nước ngoài về Việt Nam làm chức sắc, chức việc.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60 ngày kể từ ngày Ban Tôn giáo Chính phủ nhận đủ hồ sơ đăng ký hợp lệ. Nộp hồ sơ trực tiếp tại Ban Tôn giáo Chính phủ. Ban Tôn giáo Chính phủ tiếp nhận hồ sơ và có giấy hẹn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60 ngày kể từ ngày Ban Tôn giáo Chính phủ nhận đủ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60 ngày kể từ ngày Ban Tôn giáo Chính phủ nhận đủ hồ sơ đăng ký hợp lệ. Ngày tiếp nhận hồ sơ được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(theo mẫu).</w:t>
            </w:r>
          </w:p>
        </w:tc>
        <w:tc>
          <w:p/>
          <w:p>
            <w:pPr>
              <w:spacing w:after="0" w:before="0" w:lineRule="auto" w:line="276"/>
              <w:jc w:val="left"/>
            </w:pPr>
            <w:r>
              <w:rPr>
                <w:rFonts w:ascii="Times New Roman" w:hAnsi="Times New Roman" w:cs="Times New Roman" w:eastAsia="Times New Roman"/>
                <w:b w:val="false"/>
                <w:sz w:val="26"/>
              </w:rPr>
              <w:t>Mẫu B44.docx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Tôn giáo Chính phủ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Đường Dương Đình Nghệ,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hoặc không chấp thuận đăng ký cho công dân VN được phong phẩm, bổ nhiệm, bầu cử, suy cử ở nước ngoài về VN làm chức sắc, chức việc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đăng ký làm chức sắc, chức việc được hoạt động tôn giáo theo phẩm vị, chức vụ sau khi được Ban Tôn giáo Chính phủ chấp thuận việc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2026-05-09T02:44:19Z</dcterms:created>
  <dc:creator>Apache POI</dc:creator>
</cp:coreProperties>
</file>