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quyền sử dụng đất, quyền sở hữu nhà ở và tài sản khác gắn liền với đất cho hộ gia đình, cá nhân thuê lại đất của chủ đầu tư xây dựng và kinh doanh kết cấu hạ tầng đối với đất Khu công nghiệp, Cụm công nghiệp ngoài Khu kinh tế Nghi Sơn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hồ sơ và trả kết quả: Trong giờ hành chính các ngày từ thứ 2 đến thứ 6 hàng tuần (trừ các ngày nghỉ Lễ, Tết theo quy định).
b) Địa điểm tiếp nhận hồ sơ và trả kết quả: Bộ phận tiếp nhận và trả kết quả thuộc Văn phòng HĐND và UBND cấp huyện.
Bước 1: Hộ gia đình, cá nhân chuẩn bị đầy đủ hồ sơ theo quy định.
Bước 2: Trong cùng ngày tiếp nhận hồ sơ cấp Giấy chứng nhận quyền sử dụng đất, quyền sở hữu nhà ở và tài sản khác gắn liền với đất, Bộ phận tiếp nhận và trả kết quả chuyển hồ sơ về Văn phòng Đăng ký quyền sử dụng đất hoặc Phòng Tài nguyên và Môi trường để giải quyết theo quy định.
Trong thời hạn 15 ngày làm việc, kể từ ngày nhận đủ hồ sơ hợp lệ, Văn phòng Đăng ký quyền sử dụng đất hoặc Phòng Tài nguyên và Môi trường trình UBND cấp huyện cấp Giấy chứng nhận quyền sử dụng đất, quyền sở hữu nhà ở và tài sản gắn liền với đất.
Trong cùng ngày Giấy chứng nhận quyền sử dụng đất, quyền sở hữu nhà ở và tài sản khác gắn liền với đất được ký, Văn phòng Đăng ký quyền sử dụng đất hoặc Phòng Tài nguyên và Môi trường gửi kết quả về Bộ phận tiếp nhận và trả kết quả để trả cho hộ gia đình, cá nhân.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Lệ phí địa chính: + Cấp mới Giấy chứng nhận bao gồm cả đất và tài sản trên đất: 100.000 đồng/GCN đối với hộ gia đình, cá nhân tại phường trên địa bàn thành phố, thị xã, thị trấn; 50.000 đồng/GCN đối với các địa bàn còn lại. + Cấp mới Giấy chứng nhận chỉ có quyền sử dụng đất (không có nhà và tài sản gắn liền với đất):  40.000 đồng/GCN đối với hộ gia đình, cá nhân tại phường trên địa bàn thành phố, thị xã, thị trấn; 15.000đồng/GCN đối với các địa bàn còn lại. + Chứng nhận đăng ký biến động về đất đai: 28.000 đồng/GCN đối với hộ gia đình, cá nhân tại phường trên địa bàn thành phố, thị xã, thị trấn; 14.000 đồng/GCN đối với các địa bàn còn lại.)</w:t>
            </w:r>
          </w:p>
          <w:p>
            <w:pPr>
              <w:spacing w:after="0" w:before="0" w:lineRule="auto" w:line="276"/>
              <w:jc w:val="left"/>
            </w:pPr>
            <w:r>
              <w:rPr>
                <w:rFonts w:ascii="Times New Roman" w:hAnsi="Times New Roman" w:cs="Times New Roman" w:eastAsia="Times New Roman"/>
                <w:b w:val="false"/>
                <w:sz w:val="26"/>
              </w:rPr>
              <w:t xml:space="preserve">Lệ phí :  </w:t>
              <w:t xml:space="preserve"> (- Lệ phí Trích lục bản đồ địa chính: + Tại phường trên địa bàn thành phố, thị xã; thị trấn:  15.000 đồng. + Các địa bàn còn lại:                                                     7.000 đồng.)</w:t>
            </w:r>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cấp giấy chứng nhận đối với hộ gia đình, cá nhân ở nông thôn. -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w:t>
            </w:r>
          </w:p>
          <w:p>
            <w:pPr>
              <w:spacing w:after="0" w:before="0" w:lineRule="auto" w:line="276"/>
              <w:jc w:val="left"/>
            </w:pPr>
            <w:r>
              <w:rPr>
                <w:rFonts w:ascii="Times New Roman" w:hAnsi="Times New Roman" w:cs="Times New Roman" w:eastAsia="Times New Roman"/>
                <w:b w:val="false"/>
                <w:sz w:val="26"/>
              </w:rPr>
              <w:t xml:space="preserve">Lệ phí :  </w:t>
              <w:t xml:space="preserve">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quyền sử dụng đất, quyền sở hữu nhà ở và tài sản khác gắn liền với đất (có mẫu): 01 bản chính.</w:t>
            </w:r>
          </w:p>
        </w:tc>
        <w:tc>
          <w:p/>
          <w:p>
            <w:pPr>
              <w:spacing w:after="0" w:before="0" w:lineRule="auto" w:line="276"/>
              <w:jc w:val="left"/>
            </w:pPr>
            <w:r>
              <w:rPr>
                <w:rFonts w:ascii="Times New Roman" w:hAnsi="Times New Roman" w:cs="Times New Roman" w:eastAsia="Times New Roman"/>
                <w:b w:val="false"/>
                <w:sz w:val="26"/>
              </w:rPr>
              <w:t>mẫu 04a.docx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kinh doanh của chủ đầu tư: 01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quyền sở hữu nhà ở và tài sản khác gắn liền với đất đã cấp cho chủ đầu tư xây dựng và kinh doanh kết cấu hạ tầng: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cho thuê lại đất giữa Chủ đầu tư xây dựng và kinh doanh kết cấu hạ tầng và Chủ đầu tư thuê lại đất: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đã hoàn thành nghĩa vụ tài chính giữa các bên trong quá trình cho thuê đất: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đăng ký tài sản gắn liền với đất thì phải có giấy tờ chứng nhận quyền sở hữu công trình theo quy định tại Điều 32 Nghị định số 43/2014/NĐ-CP ngày 15/5/2014 của Chính phủ quy định chi tiết một số điều của Luật Đất đai năm 2013; kèm theo Giấy chứng nhận quyền sử dụng đất, quyền sở hữu nhà ở và tài sản khác gắn liến với đất đối với trường hợp chủ đầu tư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sử dụng đất, quyền sở hữu nhà ở và tài sản khác gắn liền với đất; Giấy chứng nhận quyền sở hữu nhà ở và quyền sử dụng đất ở (sau đây gọi chung là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2850/2017/QĐ-UBND</w:t>
            </w:r>
          </w:p>
        </w:tc>
        <w:tc>
          <w:p/>
          <w:p>
            <w:pPr>
              <w:spacing w:after="0" w:before="0" w:lineRule="auto" w:line="276"/>
              <w:jc w:val="left"/>
            </w:pPr>
            <w:r>
              <w:rPr>
                <w:rFonts w:ascii="Times New Roman" w:hAnsi="Times New Roman" w:cs="Times New Roman" w:eastAsia="Times New Roman"/>
                <w:b w:val="false"/>
                <w:sz w:val="26"/>
              </w:rPr>
              <w:t>sửa đổi, bổ sung Quyết định số 4764/2016/QĐ-UBND ngày 09/12/2016 của UBND tỉnh về việc ban hành quy định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07-08-2017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22/2018/QĐ-UBND</w:t>
            </w:r>
          </w:p>
        </w:tc>
        <w:tc>
          <w:p/>
          <w:p>
            <w:pPr>
              <w:spacing w:after="0" w:before="0" w:lineRule="auto" w:line="276"/>
              <w:jc w:val="left"/>
            </w:pPr>
            <w:r>
              <w:rPr>
                <w:rFonts w:ascii="Times New Roman" w:hAnsi="Times New Roman" w:cs="Times New Roman" w:eastAsia="Times New Roman"/>
                <w:b w:val="false"/>
                <w:sz w:val="26"/>
              </w:rPr>
              <w:t>Quyết định số 22/2018/QĐ-UBND</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2026-05-19T11:45:19Z</dcterms:created>
  <dc:creator>Apache POI</dc:creator>
</cp:coreProperties>
</file>