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1.006675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155/QĐ-BTC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thuế lần đầu đối với người nộp thuế là đơn vị độc lập, đơn vị chủ quản của tổ chức kinh tế, tổ chức khác - Cấp chi cục Thuế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Trong thời hạn 10 ngày làm việc kể từ ngày: Được cấp giấy phép thành lập và hoạt động, giấy chứng nhận đăng ký đầu tư, quyết định thành lập; hoặc phát sinh nghĩa vụ với ngân sách nhà nước; hoặc bắt đầu hoạt động kinh doanh đối với tổ chức không thuộc diện đăng ký kinh doanh thì người nộp thuế (NNT) chuẩn bị hồ sơ đăng ký thuế đầy đủ theo đúng quy định, gửi đến cơ quan thuế để làm thủ tục đăng ký thuế theo nơi nộp hồ sơ như sau: 
++ Đơn vị độc lập, đơn vị chủ quản của tổ chức khác, tổ hợp tác theo quy định tại Điểm b, c, n Khoản 2 Điều 4 Thông tư số 105/2020/TT-BTC ngày 03/12/2020 của Bộ Tài chính nộp hồ sơ đăng ký thuế lần đầu tại Chi cục Thuế nơi tổ chức đóng trụ sở đối với tổ chức do cơ quan cấp huyện ra quyết định thành lập và nơi tổ hợp tác đóng trụ sở.
++ Đối với trường hợp hồ sơ đăng ký thuế điện tử: Người nộp thuế (NNT) truy cập vào Cổng thông tin điện tử mà người nộp thuế lựa chọn (Cổng thông tin điện tử của Tổng cục Thuế/Cổng thông tin điện tử của cơ quan nhà nước có thẩm quyền bao gồm Cổng dịch vụ công quốc gia, Cổng dịch vụ công cấp Bộ, cấp tỉnh theo quy định về thực hiện cơ chế một cửa, một cửa liên thông trong giải quyết thủ tục hành chính và đã được kết nối với Cổng thông tin điện tử của Tổng cục Thuế/Cổng thông tin của tổ chức cung cấp dịch vụ T-VAN) để khai tờ khai và gửi kèm các hồ sơ theo quy định dưới dạng điện tử (nếu có), ký điện tử và gửi đến cơ quan thuế qua Cổng thông tin điện tử mà người nộp thuế lựa chọn. 
NNT nộp hồ sơ (hồ sơ đăng ký thuế đồng thời với hồ sơ đăng ký kinh doanh theo cơ chế 1 cửa liên thông) đến cơ quan quản lý nhà nước có thẩm quyền theo quy định. Cơ quan quản lý nhà nước có thẩm quyền gửi thông tin hồ sơ đã tiếp nhận của NNT sang cơ quan thuế qua Cổng thông tin điện tử của Tổng cục Thuế.
+ Bước 2. Cơ quan thuế tiếp nhận:
++ Đối với hồ sơ đăng ký thuế bằng giấy:
+++ Trường hợp hồ sơ được nộp trực tiếp tại cơ quan thuế: Công chức thuế tiếp nhận và đóng dấu tiếp nhận vào hồ sơ đăng ký thuế, ghi rõ ngày nhận hồ sơ, số lượng tài liệu theo bảng kê danh mục hồ sơ đối với trường hợp hồ sơ đăng ký thuế nộp trực tiếp tại cơ quan thuế. Công chức thuế viết phiếu hẹn ngày trả kết quả, thời hạn xử lý hồ sơ đã tiếp nhận. 
+++ Trường hợp hồ sơ đăng ký thuế gửi bằng đường bưu chính: Công chức thuế đóng dấu tiếp nhận, ghi ngày nhận hồ sơ vào hồ sơ và ghi số văn thư của cơ quan thuế.
Công chức thuế kiểm tra hồ sơ đăng ký thuế. Trường hợp hồ sơ không đầy đủ cần phải giải trình, bổ sung thông tin, tài liệu, cơ quan thuế thông báo cho người nộp thuế theo mẫu số 01/TB-BSTT-NNT tại Phụ lục II ban hành kèm theo Nghị định số 126/2020/NĐ-CP ngày 19/10/2020 của Chính phủ trong thời hạn 02 (hai) ngày làm việc kể từ ngày tiếp nhận hồ sơ.
++ Đối với trường hợp hồ sơ đăng ký thuế điện tử: 
Cơ quan thuế thực hiện tiếp nhận hồ sơ qua Cổng thông tin điện tử của Tổng cục Thuế, thực hiện kiểm tra, giải quyết hồ sơ thông qua hệ thống xử lý dữ liệu điện tử của cơ quan thuế.
+++ Tiếp nhận hồ sơ: Cổng thông tin điện tử của Tổng cục Thuế gửi thông báo tiếp nhận việc NNT đã nộp hồ sơ cho NNT qua Cổng thông tin điện tử mà người nộp thuế lựa chọn lập và gửi hồ sơ (Cổng thông tin điện tử của Tổng cục Thuế/Cổng thông tin điện tử của cơ quan nhà nước có thẩm quyền hoặc tổ chức cung cấp dịch vụ T-VAN) chậm nhất 15 phút kể từ khi nhận được hồ sơ đăng ký thuế điện tử của người nộp thuế.
+++ Kiểm tra, giải quyết hồ sơ: Cơ quan thuế thực hiện kiểm tra, giải quyết hồ sơ của người nộp thuế theo quy định của pháp luật về đăng ký thuế và trả kết quả giải quyết qua Cổng thông tin điện tử mà người nộp thuế lựa chọn lập và gửi hồ sơ.
++++ Trường hợp hồ sơ đầy đủ, đúng thủ tục theo quy định và phải trả kết quả: Cơ quan thuế gửi kết quả giải quyết hồ sơ đến Cổng thông tin điện tử mà người nộp thuế lựa chọn lập và gửi hồ sơ theo thời hạn quy định tại Thông tư số 105/2020/TT-BTC ngày 03/12/2020 của Bộ Tài chính.
++++ Trường hợp hồ sơ chưa đầy đủ, chưa đúng thủ tục theo quy định, cơ quan thuế gửi thông báo về việc không chấp nhận hồ sơ, gửi đến Cổng thông tin điện tử mà người nộp thuế lựa chọn lập và gửi hồ sơ trong thời hạn 02 (hai) ngày làm việc kể từ ngày ghi trên Thông báo tiếp nhận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(ba) ngày làm việc kể từ ngày cơ quan thuế nhận được hồ sơ đăng ký thuế đầy đủ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(ba) ngày làm việc kể từ ngày cơ quan thuế nhận được hồ sơ đăng ký thuế đầy đủ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(ba) ngày làm việc kể từ ngày cơ quan thuế nhận được hồ sơ đăng ký thuế đầy đủ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thuế mẫu số 01-ĐK-TCT ban hành kèm theo Thông tư số 105/2020/TT-BTC ngày 03/12/2020 của Bộ Tài chính;</w:t>
            </w:r>
          </w:p>
        </w:tc>
        <w:tc>
          <w:p/>
          <w:p>
            <w:pPr>
              <w:spacing w:after="0" w:before="0" w:lineRule="auto" w:line="276"/>
              <w:jc w:val="left"/>
            </w:pPr>
            <w:r>
              <w:rPr>
                <w:rFonts w:ascii="Times New Roman" w:hAnsi="Times New Roman" w:cs="Times New Roman" w:eastAsia="Times New Roman"/>
                <w:b w:val="false"/>
                <w:sz w:val="26"/>
              </w:rPr>
              <w:t>Mẫu 01.Đk.TCT.doc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Bảng kê các công ty con, công ty thành viên mẫu số BK01-ĐK-TCT ban hành kèm theo Thông tư số 105/2020/TT-BTC ngày 03/12/2020 của Bộ Tài chính (nếu có);</w:t>
            </w:r>
          </w:p>
        </w:tc>
        <w:tc>
          <w:p/>
          <w:p>
            <w:pPr>
              <w:spacing w:after="0" w:before="0" w:lineRule="auto" w:line="276"/>
              <w:jc w:val="left"/>
            </w:pPr>
            <w:r>
              <w:rPr>
                <w:rFonts w:ascii="Times New Roman" w:hAnsi="Times New Roman" w:cs="Times New Roman" w:eastAsia="Times New Roman"/>
                <w:b w:val="false"/>
                <w:sz w:val="26"/>
              </w:rPr>
              <w:t>BK01.Đk.TCT.doc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Bảng kê các đơn vị phụ thuộc (chi nhánh, văn phòng đại diện) mẫu số BK02-ĐK-TCT ban hành kèm theo Thông tư số 105/2020/TT-BTC ngày 03/12/2020 của Bộ Tài chính (nếu có)</w:t>
            </w:r>
          </w:p>
        </w:tc>
        <w:tc>
          <w:p/>
          <w:p>
            <w:pPr>
              <w:spacing w:after="0" w:before="0" w:lineRule="auto" w:line="276"/>
              <w:jc w:val="left"/>
            </w:pPr>
            <w:r>
              <w:rPr>
                <w:rFonts w:ascii="Times New Roman" w:hAnsi="Times New Roman" w:cs="Times New Roman" w:eastAsia="Times New Roman"/>
                <w:b w:val="false"/>
                <w:sz w:val="26"/>
              </w:rPr>
              <w:t>BK02.ĐK.TCT.doc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Bảng kê địa điểm kinh doanh, kho hàng mẫu số BK03-ĐK-TCT ban hành kèm theo Thông tư số 105/2020/TT-BTC ngày 03/12/2020 của Bộ Tài chính (nếu có)</w:t>
            </w:r>
          </w:p>
        </w:tc>
        <w:tc>
          <w:p/>
          <w:p>
            <w:pPr>
              <w:spacing w:after="0" w:before="0" w:lineRule="auto" w:line="276"/>
              <w:jc w:val="left"/>
            </w:pPr>
            <w:r>
              <w:rPr>
                <w:rFonts w:ascii="Times New Roman" w:hAnsi="Times New Roman" w:cs="Times New Roman" w:eastAsia="Times New Roman"/>
                <w:b w:val="false"/>
                <w:sz w:val="26"/>
              </w:rPr>
              <w:t>BK03.ĐK.TCT.doc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Bảng kê các nhà thầu nước ngoài, nhà thầu phụ nước ngoài mẫu số BK04-ĐK-TCT ban hành kèm theo Thông tư số 105/2020/TT-BTC ngày 03/12/2020 của Bộ Tài chính (nếu có);</w:t>
            </w:r>
          </w:p>
        </w:tc>
        <w:tc>
          <w:p/>
          <w:p>
            <w:pPr>
              <w:spacing w:after="0" w:before="0" w:lineRule="auto" w:line="276"/>
              <w:jc w:val="left"/>
            </w:pPr>
            <w:r>
              <w:rPr>
                <w:rFonts w:ascii="Times New Roman" w:hAnsi="Times New Roman" w:cs="Times New Roman" w:eastAsia="Times New Roman"/>
                <w:b w:val="false"/>
                <w:sz w:val="26"/>
              </w:rPr>
              <w:t>BK04.ĐK.TCT.doc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không yêu cầu chứng thực Quyết định thành lập, hoặc văn bản tương đương do cơ quan có thẩm quyền cấp. + Số lượng hồ sơ: 01 (bộ)</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thuế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Chi cục Thuế</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thuế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38/2019/QH14</w:t>
            </w:r>
          </w:p>
        </w:tc>
        <w:tc>
          <w:p/>
          <w:p>
            <w:pPr>
              <w:spacing w:after="0" w:before="0" w:lineRule="auto" w:line="276"/>
              <w:jc w:val="left"/>
            </w:pPr>
            <w:r>
              <w:rPr>
                <w:rFonts w:ascii="Times New Roman" w:hAnsi="Times New Roman" w:cs="Times New Roman" w:eastAsia="Times New Roman"/>
                <w:b w:val="false"/>
                <w:sz w:val="26"/>
              </w:rPr>
              <w:t>Luật 38/2019/QH14</w:t>
            </w:r>
          </w:p>
        </w:tc>
        <w:tc>
          <w:p/>
          <w:p>
            <w:pPr>
              <w:spacing w:after="0" w:before="0" w:lineRule="auto" w:line="276"/>
              <w:jc w:val="left"/>
            </w:pPr>
            <w:r>
              <w:rPr>
                <w:rFonts w:ascii="Times New Roman" w:hAnsi="Times New Roman" w:cs="Times New Roman" w:eastAsia="Times New Roman"/>
                <w:b w:val="false"/>
                <w:sz w:val="26"/>
              </w:rPr>
              <w:t>13-06-2019</w:t>
            </w:r>
          </w:p>
        </w:tc>
        <w:tc>
          <w:p/>
        </w:tc>
      </w:tr>
      <w:tr>
        <w:tc>
          <w:p/>
          <w:p>
            <w:pPr>
              <w:spacing w:after="0" w:before="0" w:lineRule="auto" w:line="276"/>
              <w:jc w:val="left"/>
            </w:pPr>
            <w:r>
              <w:rPr>
                <w:rFonts w:ascii="Times New Roman" w:hAnsi="Times New Roman" w:cs="Times New Roman" w:eastAsia="Times New Roman"/>
                <w:b w:val="false"/>
                <w:sz w:val="26"/>
              </w:rPr>
              <w:t>105/2020/TT-BTC</w:t>
            </w:r>
          </w:p>
        </w:tc>
        <w:tc>
          <w:p/>
          <w:p>
            <w:pPr>
              <w:spacing w:after="0" w:before="0" w:lineRule="auto" w:line="276"/>
              <w:jc w:val="left"/>
            </w:pPr>
            <w:r>
              <w:rPr>
                <w:rFonts w:ascii="Times New Roman" w:hAnsi="Times New Roman" w:cs="Times New Roman" w:eastAsia="Times New Roman"/>
                <w:b w:val="false"/>
                <w:sz w:val="26"/>
              </w:rPr>
              <w:t>Thông tư 105/2020/TT-BTC</w:t>
            </w:r>
          </w:p>
        </w:tc>
        <w:tc>
          <w:p/>
          <w:p>
            <w:pPr>
              <w:spacing w:after="0" w:before="0" w:lineRule="auto" w:line="276"/>
              <w:jc w:val="left"/>
            </w:pPr>
            <w:r>
              <w:rPr>
                <w:rFonts w:ascii="Times New Roman" w:hAnsi="Times New Roman" w:cs="Times New Roman" w:eastAsia="Times New Roman"/>
                <w:b w:val="false"/>
                <w:sz w:val="26"/>
              </w:rPr>
              <w:t>03-12-2020</w:t>
            </w:r>
          </w:p>
        </w:tc>
        <w:tc>
          <w:p/>
        </w:tc>
      </w:tr>
      <w:tr>
        <w:tc>
          <w:p/>
          <w:p>
            <w:pPr>
              <w:spacing w:after="0" w:before="0" w:lineRule="auto" w:line="276"/>
              <w:jc w:val="left"/>
            </w:pPr>
            <w:r>
              <w:rPr>
                <w:rFonts w:ascii="Times New Roman" w:hAnsi="Times New Roman" w:cs="Times New Roman" w:eastAsia="Times New Roman"/>
                <w:b w:val="false"/>
                <w:sz w:val="26"/>
              </w:rPr>
              <w:t>19/2021/TT-BTC</w:t>
            </w:r>
          </w:p>
        </w:tc>
        <w:tc>
          <w:p/>
          <w:p>
            <w:pPr>
              <w:spacing w:after="0" w:before="0" w:lineRule="auto" w:line="276"/>
              <w:jc w:val="left"/>
            </w:pPr>
            <w:r>
              <w:rPr>
                <w:rFonts w:ascii="Times New Roman" w:hAnsi="Times New Roman" w:cs="Times New Roman" w:eastAsia="Times New Roman"/>
                <w:b w:val="false"/>
                <w:sz w:val="26"/>
              </w:rPr>
              <w:t>Thông tư 19/2021/TT-BTC</w:t>
            </w:r>
          </w:p>
        </w:tc>
        <w:tc>
          <w:p/>
          <w:p>
            <w:pPr>
              <w:spacing w:after="0" w:before="0" w:lineRule="auto" w:line="276"/>
              <w:jc w:val="left"/>
            </w:pPr>
            <w:r>
              <w:rPr>
                <w:rFonts w:ascii="Times New Roman" w:hAnsi="Times New Roman" w:cs="Times New Roman" w:eastAsia="Times New Roman"/>
                <w:b w:val="false"/>
                <w:sz w:val="26"/>
              </w:rPr>
              <w:t>18-03-2021</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người nộp thuế lựa chọn và gửi hồ sơ đến cơ quan thuế thông qua giao dịch điện tử thì phải tuân thủ đúng các quy định của pháp luật về giao dịch điện tử đồng thời đăng ký và đảm bảo đầy đủ các điều kiện thực hiện giao dịch điện tử trong lĩnh vực thuế theo quy định tại Thông tư số 19/2021/TT-BTC ngày 18/3/2021 của Bộ trưởng Bộ Tài chính.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2026-05-26T19:14:07Z</dcterms:created>
  <dc:creator>Apache POI</dc:creator>
</cp:coreProperties>
</file>