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hủy bỏ quyết định bán đấu giá tài sản công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Địa chỉ tiếp nhận và trả kết quả:  Bộ phận tiếp nhận và trả kết quả của Văn phòng HĐND và UBND cấp huyện.
- Thời gian nhận và trả kết quả: Trong giờ hành chính các ngày từ thứ hai đến thứ 6 hàng tuần (trừ ngày Lễ, Tết theo quy định).
Bước 1: Trong thời hạn 07 ngày làm việc, kể từ ngày xác định việc đấu giá không thành, cơ quan được giao nhiệm vụ tổ chức bán tài sản có trách nhiệm lập 01 bộ hồ sơ trình UBND các huyện, thị xã, thành phố để xem xét, đề nghị Chủ tịch UBND các huyện, thị xã, thành phố đã ra quyết định bán tài sản ra quyết định hủy bỏ quyết định bán đấu giá tài sản công.
Bước 2: Trong thời hạn 07 ngày làm việc, kể từ ngày nhận được đầy đủ hồ sơ hợp lệ, Chủ tịch UBND các huyện, thị xã, thành phố xem xét, quyết định hủy bỏ quyết định bán đấu giá tài sản công hoặc có văn bản yêu cầu tổ chức đấu giá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hủy bỏ quyết định bán đấu giá của cơ quan được giao nhiệm vụ tổ chức bán tài sản (trong đó nêu rõ lý do đấu giá không thành và mô tả đầy đủ quá trình tổ chức đấu giá):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hủy bỏ quyết định bán đấu giá của các cơ quan quản lý cấp trên có liên quan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bán đấu giá tài sản của cơ quan, người có thẩm quyền: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bán đấu giá tài sản (nếu có) và các hồ sơ liên quan đến quá trình tổ chức đấu giá tài sản: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hủy bỏ quyết định bán đấu giá tài sản công hoặc văn bản yêu cầu tổ chức đấu giá lại.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15/2017/QH14</w:t>
            </w:r>
          </w:p>
        </w:tc>
        <w:tc>
          <w:p/>
          <w:p>
            <w:pPr>
              <w:spacing w:after="0" w:before="0" w:lineRule="auto" w:line="276"/>
              <w:jc w:val="left"/>
            </w:pPr>
            <w:r>
              <w:rPr>
                <w:rFonts w:ascii="Times New Roman" w:hAnsi="Times New Roman" w:cs="Times New Roman" w:eastAsia="Times New Roman"/>
                <w:b w:val="false"/>
                <w:sz w:val="26"/>
              </w:rPr>
              <w:t>Luật quản lý, sử dụng tài sản công</w:t>
            </w:r>
          </w:p>
        </w:tc>
        <w:tc>
          <w:p/>
          <w:p>
            <w:pPr>
              <w:spacing w:after="0" w:before="0" w:lineRule="auto" w:line="276"/>
              <w:jc w:val="left"/>
            </w:pPr>
            <w:r>
              <w:rPr>
                <w:rFonts w:ascii="Times New Roman" w:hAnsi="Times New Roman" w:cs="Times New Roman" w:eastAsia="Times New Roman"/>
                <w:b w:val="false"/>
                <w:sz w:val="26"/>
              </w:rPr>
              <w:t>21-06-2017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151/2017/NĐ-CP</w:t>
            </w:r>
          </w:p>
        </w:tc>
        <w:tc>
          <w:p/>
          <w:p>
            <w:pPr>
              <w:spacing w:after="0" w:before="0" w:lineRule="auto" w:line="276"/>
              <w:jc w:val="left"/>
            </w:pPr>
            <w:r>
              <w:rPr>
                <w:rFonts w:ascii="Times New Roman" w:hAnsi="Times New Roman" w:cs="Times New Roman" w:eastAsia="Times New Roman"/>
                <w:b w:val="false"/>
                <w:sz w:val="26"/>
              </w:rPr>
              <w:t>Nghị định 151/2017/NĐ-CP</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111/2018/NQ-HĐND</w:t>
            </w:r>
          </w:p>
        </w:tc>
        <w:tc>
          <w:p/>
          <w:p>
            <w:pPr>
              <w:spacing w:after="0" w:before="0" w:lineRule="auto" w:line="276"/>
              <w:jc w:val="left"/>
            </w:pPr>
            <w:r>
              <w:rPr>
                <w:rFonts w:ascii="Times New Roman" w:hAnsi="Times New Roman" w:cs="Times New Roman" w:eastAsia="Times New Roman"/>
                <w:b w:val="false"/>
                <w:sz w:val="26"/>
              </w:rPr>
              <w:t>NGHỊ QUYẾT  Về phân cấp thẩm quyền quyết định trong việc quản lý, sử dụng   tài sản công của các cơ quan, tổ chức, đơn vị thuộc phạm vi   quản lý của tỉnh Thanh Hóa</w:t>
            </w:r>
          </w:p>
        </w:tc>
        <w:tc>
          <w:p/>
          <w:p>
            <w:pPr>
              <w:spacing w:after="0" w:before="0" w:lineRule="auto" w:line="276"/>
              <w:jc w:val="left"/>
            </w:pPr>
            <w:r>
              <w:rPr>
                <w:rFonts w:ascii="Times New Roman" w:hAnsi="Times New Roman" w:cs="Times New Roman" w:eastAsia="Times New Roman"/>
                <w:b w:val="false"/>
                <w:sz w:val="26"/>
              </w:rPr>
              <w:t>11-07-2018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2026-05-01T12:15:50Z</dcterms:created>
  <dc:creator>Apache POI</dc:creator>
</cp:coreProperties>
</file>