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thanh lý tài sản công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 trừ ngày Lễ, Tết theo quy định).
Bước 1: Khi có tài sản công hết hạn sử dụng theo chế độ mà phải thanh lý; tài sản công chưa hết hạn sử dụng nhưng bị hư hỏng mà không thể sửa chữa được hoặc việc sửa chữa không hiệu quả (dự toán chi phí sửa chữa lớn hơn 30% nguyên giá tài sản); nhà làm việc hoặc tài sản khác gắn liền với đất phải phá dỡ để thực hiện dự án đầu tư xây dựng, giải phóng mặt bằng hoặc các trường hợp khác theo quyết định của cơ quan nhà nước có thẩm quyền, cơ quan, tổ chức, đơn vị có tài sản lập 01 bộ hồ sơ đề nghị thanh lý tài sản công, gửi UBND các huyện, thị xã, thành phố xem xét, đề nghị Chủ tịch UBND các huyện, thị xã, thành phố quyết định thanh lý tài sản công xem xét, quyết định.
Bước 2. Trong thời hạn 30 ngày kể từ ngày nhận được đầy đủ hồ sơ hợp lệ Chủ tịch UBND các huyện, thị xã, thành phố quyết định thanh lý tài sản hoặc có văn bản hồi đáp trong trường hợp đề nghị thanh lý không phù hợp.
Ghi chú: Phòng Tài chính kế hoạch các huyện, thị xã, thành phố có trách nhiệm thẩm định về đề nghị thanh lý tài sản trong trường hợp việc thanh lý tài sản do Chủ tịch Ủy ban nhân dân các huyện, thị xã, thành phố quyết định theo thẩm quyền. Chủ tịch Ủy ban nhân dân cấp huyện quyết định thanh lý tài sản là nhà, công trình xây dựng gắn liền với đất có nguyên giá theo sổ sách kế toán dưới 500 triệu đồng/01 đơn vị tài sản, các công trình xây dựng phải phá dỡ để thực hiện dự án đầu tư, xây dựng, giải phóng mặt bằng theo quy hoạch, dự án đã được cơ quan nhà nước có thẩm quyền phê duyệt và các tài sản công thuộc thẩm quyền quyết định mua sắm theo phân cấp đối với các cơ quan, tổ chức, đơn vị thuộc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 tài sản công của cơ quan nhà nước được giao quản lý, sử dụng tài sản công (trong đó nêu rõ trách nhiệm tổ chức thanh lý tài sản; dự toán chi phí sửa chữa tài sản trong trường hợp xác định việc sửa chữa không hiệu quả):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thanh lý tài sản công của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thanh lý (chủng loại, số lượng; tình trạng; nguyên giá, giá trị còn lại theo sổ kế toán; lý do thanh lý):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bằng văn bản của cơ quan chuyên môn có liên quan về tình trạng tài sản và khả năng sửa chữa (đối với tài sản là nhà, công trình xây dựng chưa hết hạn sử dụng nhưng bị hư hỏng mà không thể sửa chữa được):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hồ sơ khác có liên quan đến đề nghị thanh lý tài sản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lý tài sản công hoặc văn bản hồi đáp trong trường hợp đề nghị thanh lý không phù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151/2017/NĐ-CP</w:t>
            </w:r>
          </w:p>
        </w:tc>
        <w:tc>
          <w:p/>
          <w:p>
            <w:pPr>
              <w:spacing w:after="0" w:before="0" w:lineRule="auto" w:line="276"/>
              <w:jc w:val="left"/>
            </w:pPr>
            <w:r>
              <w:rPr>
                <w:rFonts w:ascii="Times New Roman" w:hAnsi="Times New Roman" w:cs="Times New Roman" w:eastAsia="Times New Roman"/>
                <w:b w:val="false"/>
                <w:sz w:val="26"/>
              </w:rPr>
              <w:t>Nghị định 151/2017/NĐ-CP</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15/2017/QH14	</w:t>
            </w:r>
          </w:p>
        </w:tc>
        <w:tc>
          <w:p/>
          <w:p>
            <w:pPr>
              <w:spacing w:after="0" w:before="0" w:lineRule="auto" w:line="276"/>
              <w:jc w:val="left"/>
            </w:pPr>
            <w:r>
              <w:rPr>
                <w:rFonts w:ascii="Times New Roman" w:hAnsi="Times New Roman" w:cs="Times New Roman" w:eastAsia="Times New Roman"/>
                <w:b w:val="false"/>
                <w:sz w:val="26"/>
              </w:rPr>
              <w:t>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2026-05-23T16:42:21Z</dcterms:created>
  <dc:creator>Apache POI</dc:creator>
</cp:coreProperties>
</file>