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cấp Giấy chứng nhận quyền sử dụng đất, quyền sở hữu nhà ở và tài sản khác gắn liền với đất đối với trường hợp đã chuyển quyền sử dụng đất trước ngày 01 tháng 7 năm 2014 mà bên chuyển quyền đã được cấp Giấy chứng nhận nhưng chưa thực hiện thủ tục chuyển quyền theo quy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DATA[1. Trình tự thực hiện
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Hộ gia đình, cá nhân, cộng đồng dân cư nộp hồ sơ tại Ủy ban nhân dân cấp xã nếu có nhu cầu. Trường hợp nộp hồ sơ tại cấp xã thì trong thời hạn 05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MT).
Bước 1: Người sử dụng đất chuẩn bị đầy đủ hồ sơ theo quy định.
Bước 2: Cơ quan tiếp nhận hồ sơ có trách nhiệm ghi đầy đủ thông tin vào Sổ tiếp nhận hồ sơ và trả kết quả và trao Phiếu tiếp nhận hồ sơ và trả kết quả cho người nộp hồ sơ; chuyển hồ sơ cho Văn phòng đăng ký quyền sử dụng đất cấp huyện hoặc phòng TN&MT.
Trường hợp nhận hồ sơ chưa đầy đủ, chưa hợp lệ thì trong thời gian 03 ngày làm việc, cơ quan tiếp nhận, xử lý hồ sơ phải thông báo và hướng dẫn người nộp hồ sơ bổ sung, hoàn chỉnh hồ sơ theo quy định. 
- Trong thời hạn 10 ngày làm việc, kể từ ngày nhận đủ hồ sơ hợp lệ, Văn phòng đăng ký quyền sử dụng đất cấp huyện hoặc Phòng TN&MT có trách nhiệm:
+ Thông báo bằng văn bản cho bên chuyển quyền và niêm yết tại trụ sở Ủy ban nhân dân cấp xã nơi có đất về việc làm thủ tục cấp Giấy chứng nhận quyền sử dụng đất, quyền sở hữu nhà ở và tài sản khác gắn liền với đất cho người nhận chuyển quyền. 
+ Trường hợp không rõ địa chỉ của người chuyển quyền để thông báo thì phải đăng tin trên phương tiện thông tin đại chúng của địa phương ba số liên tiếp.
+ Sau thời hạn 30 ngày, kể từ ngày thông báo hoặc đăng tin lần đầu tiên trên phương tiện thông tin đại chúng của địa phương mà không có đơn đề nghị giải quyết tranh chấp thì Văn phòng đăng ký quyền sử dụng đất lập hồ sơ để trình cơ quan có thẩm quyền quyết định hủy Giấy chứng nhận đã cấp đối với trường hợp không nộp Giấy chứng nhận để làm thủ tục, đồng thời cấp Giấy chứng nhận quyền sử dụng đất, quyền sở hữu nhà ở và tài sản khác gắn liền với đất mới cho bên nhận chuyển quyền.
+ Gửi phiếu lấy ý kiến Cơ quan quản lý nhà nước đối với loại tài sản đề nghị chứng nhận quyền sở hữu (nếu có).
+ Chuyển thông tin địa chính đến cơ quan thuế địa phương nơi có đất để xác định nghĩa vụ tài chính theo quy định.
- Trong thời hạn 05 ngày làm việc, kể từ ngày nhận được thông tin địa chính do Văn phòng Đăng ký quyền sử dụng đất cấp huyện hoặc Phòng TN&MT chuyển đến, Cơ quan Thuế thông báo nghĩa vụ tài chính để các bên thực hiện theo quy định (lệ phí trước bạ, thuế thu nhập cá nhân). 
- Trong thời hạn 05 ngày làm việc, Cơ quan quản lý nhà nước đối với tài sản gắn liền với đất có trách nhiệm trả lời bằng văn bản cho Văn phòng đăng ký quyền sử dụng đất cấp huyện hoặc Phòng TN&MT theo quy định.
- Sau khi người sử dụng đất nộp giấy tờ chứng minh đã hoàn thành nghĩa vụ tài chính theo quy định, trong thời hạn 02 ngày làm việc, Văn phòng đăng ký quyền sử dụng đất cấp huyện hoặc Phòng TN&MT lập hồ sơ để trình UBND huyện theo quy định.
- Trong thời hạn 03 ngày làm việc, UBND cấp huyện quyết định hủy Giấy chứng nhận đã cấp, đồng thời cấp mới Giấy chứng nhận quyền sử dụng đất, quyền sở hữu nhà ở và tài sản khác gắn liền với đất theo quy định.
Trong cùng ngày Giấy chứng nhận quyền sử dụng đất, quyền sở hữu nhà ở và tài sản khác gắn liền với đất được ký, Văn phòng Đăng ký quyền sử dụng đất gửi kết quả về Bộ phận tiếp nhận và trả kết quả để trả cho hộ gia đình, cá nhân.
Trường hợp có đơn đề nghị giải quyết tranh chấp thì Văn phòng đăng ký quyền sử dụng đất cấp huyện hoặc Phòng TN&MT hướng dẫn các bên nộp đơn đến cơ quan nhà nước có thẩm quyền giải quyết tranh chấp theo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chính.docx</w:t>
            </w:r>
          </w:p>
        </w:tc>
        <w:tc>
          <w:p/>
          <w:p>
            <w:pPr>
              <w:spacing w:after="0" w:before="0" w:lineRule="auto" w:line="276"/>
              <w:jc w:val="left"/>
            </w:pPr>
            <w:r>
              <w:rPr>
                <w:rFonts w:ascii="Times New Roman" w:hAnsi="Times New Roman" w:cs="Times New Roman" w:eastAsia="Times New Roman"/>
                <w:b w:val="false"/>
                <w:sz w:val="26"/>
              </w:rPr>
              <w:t>25 ngày làm việc, trong đó:
- Tại Văn phòng Đăng ký quyền sử dụng đất cấp huyện hoặc Phòng TN&amp;MT: 12 ngày làm việc;
- Xin ý kiến Cơ quan quản lý nhà nước đối với tài sản gắn liền với đất (nếu có): 05 ngày làm việc;
- Tại Cơ quan thuế: 05 ngày làm việc;
- Tại Ủy ban nhân dân cấp huyện: 03 ngày làm việc.
Thời gian trên không tính thời gian 30 ngày niêm yết tại xã hoặc đăng tin; không tính thời gian tiếp nhận hồ sơ tại xã; không tính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chính.docx</w:t>
            </w:r>
          </w:p>
        </w:tc>
        <w:tc>
          <w:p/>
          <w:p>
            <w:pPr>
              <w:spacing w:after="0" w:before="0" w:lineRule="auto" w:line="276"/>
              <w:jc w:val="left"/>
            </w:pPr>
            <w:r>
              <w:rPr>
                <w:rFonts w:ascii="Times New Roman" w:hAnsi="Times New Roman" w:cs="Times New Roman" w:eastAsia="Times New Roman"/>
                <w:b w:val="false"/>
                <w:sz w:val="26"/>
              </w:rPr>
              <w:t>25 ngày làm việc, trong đó:
- Tại Văn phòng Đăng ký quyền sử dụng đất cấp huyện hoặc Phòng TN&amp;MT: 12 ngày làm việc;
- Xin ý kiến Cơ quan quản lý nhà nước đối với tài sản gắn liền với đất (nếu có): 05 ngày làm việc;
- Tại Cơ quan thuế: 05 ngày làm việc;
- Tại Ủy ban nhân dân cấp huyện: 03 ngày làm việc.
Thời gian trên không tính thời gian 30 ngày niêm yết tại xã hoặc đăng tin; không tính thời gian tiếp nhận hồ sơ tại xã; không tính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địa chính:- Trường hợp nhận chuyển nhượng, nhận thừa kế, nhận tặng cho quyền sử dụng đất, tài sản gắn liền với đất mà có hợp đồng hoặc văn bản về chuyển quyền theo quy định nhưng bên chuyển quyền không trao Giấy chứng nhận cho bên nhận chuyển quyền,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văn bản về chuyển quyền đã lập theo quy định;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3.1. Hồ sơ địa chính:- Trường hợp nhận chuyển nhượng, nhận tặng cho quyền sử dụng đất nhưng không lập hợp đồng, văn bản chuyển quyền theo quy định, hồ sơ gồm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về việc chuyển quyền sử dụng đất, tài sản gắn liền với đất có đủ chữ ký của bên chuyển quyền và bên nhận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3.2. Hồ sơ thực hiện nghĩa vụ tài chính: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Mẫu 01- Tờ khai lệ phí trước bạ.docx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 Bản chính;</w:t>
            </w:r>
          </w:p>
        </w:tc>
        <w:tc>
          <w:p/>
          <w:p>
            <w:pPr>
              <w:spacing w:after="0" w:before="0" w:lineRule="auto" w:line="276"/>
              <w:jc w:val="left"/>
            </w:pPr>
            <w:r>
              <w:rPr>
                <w:rFonts w:ascii="Times New Roman" w:hAnsi="Times New Roman" w:cs="Times New Roman" w:eastAsia="Times New Roman"/>
                <w:b w:val="false"/>
                <w:sz w:val="26"/>
              </w:rPr>
              <w:t>Tờ khai thuế sử dụng đất phí nông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thu nhập từ chuyển nhượng bất động sản theo quy định của pháp luật về thuế (nếu có): Bản chính,</w:t>
            </w:r>
          </w:p>
        </w:tc>
        <w:tc>
          <w:p/>
          <w:p>
            <w:pPr>
              <w:spacing w:after="0" w:before="0" w:lineRule="auto" w:line="276"/>
              <w:jc w:val="left"/>
            </w:pPr>
            <w:r>
              <w:rPr>
                <w:rFonts w:ascii="Times New Roman" w:hAnsi="Times New Roman" w:cs="Times New Roman" w:eastAsia="Times New Roman"/>
                <w:b w:val="false"/>
                <w:sz w:val="26"/>
              </w:rPr>
              <w:t>Mẫu 03 - Tờ khai thuế thu nhập cá nhân.docx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 Bản chính;</w:t>
            </w:r>
          </w:p>
        </w:tc>
        <w:tc>
          <w:p/>
          <w:p>
            <w:pPr>
              <w:spacing w:after="0" w:before="0" w:lineRule="auto" w:line="276"/>
              <w:jc w:val="left"/>
            </w:pPr>
            <w:r>
              <w:rPr>
                <w:rFonts w:ascii="Times New Roman" w:hAnsi="Times New Roman" w:cs="Times New Roman" w:eastAsia="Times New Roman"/>
                <w:b w:val="false"/>
                <w:sz w:val="26"/>
              </w:rPr>
              <w:t>Văn bản miễn giảm thuế.docx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chuyển nhượng bất động sản theo quy định của pháp luật (bản sao) hoặc Hợp đồng tặng cho tài sản là bất động sản theo quy định của pháp luật (bản sao) hoặc Hợp đồng (hoặc các giấy tờ) thừa kế bất động sản (bản sao); Hóa đơn giá trị gia tăng đối với trường hợp tổ chức chuyển nhượng bất động sản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 Hộ gia đình, cá nhân, cộng đồng dân cư nộp hồ sơ tại Ủy ban nhân dân cấp xã nếu có nhu cầu. Trường hợp nộp hồ sơ tại cấp xã thì trong thời hạn 05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TN&amp;MT).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92/2015/TT-BTC</w:t>
            </w:r>
          </w:p>
        </w:tc>
        <w:tc>
          <w:p/>
          <w:p>
            <w:pPr>
              <w:spacing w:after="0" w:before="0" w:lineRule="auto" w:line="276"/>
              <w:jc w:val="left"/>
            </w:pPr>
            <w:r>
              <w:rPr>
                <w:rFonts w:ascii="Times New Roman" w:hAnsi="Times New Roman" w:cs="Times New Roman" w:eastAsia="Times New Roman"/>
                <w:b w:val="false"/>
                <w:sz w:val="26"/>
              </w:rPr>
              <w:t>Thông tư 92/2015/TT-BTC</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 -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06-11-2013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Thông tư liên tịch số 88/2016/TTLT/BTC-BTNMT ngày 22 tháng 6 năm 2016 của liên bộ: Bộ Tài chính và Bộ Tài nguyên và Môi trường 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140/2016/NĐ-CP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về phí, lệ phí trước bạ</w:t>
            </w:r>
          </w:p>
        </w:tc>
        <w:tc>
          <w:p/>
          <w:p>
            <w:pPr>
              <w:spacing w:after="0" w:before="0" w:lineRule="auto" w:line="276"/>
              <w:jc w:val="left"/>
            </w:pPr>
            <w:r>
              <w:rPr>
                <w:rFonts w:ascii="Times New Roman" w:hAnsi="Times New Roman" w:cs="Times New Roman" w:eastAsia="Times New Roman"/>
                <w:b w:val="false"/>
                <w:sz w:val="26"/>
              </w:rPr>
              <w:t>10-10-2016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 xml:space="preserve">19/2019/QĐ-UBND </w:t>
            </w:r>
          </w:p>
        </w:tc>
        <w:tc>
          <w:p/>
          <w:p>
            <w:pPr>
              <w:spacing w:after="0" w:before="0" w:lineRule="auto" w:line="276"/>
              <w:jc w:val="left"/>
            </w:pPr>
            <w:r>
              <w:rPr>
                <w:rFonts w:ascii="Times New Roman" w:hAnsi="Times New Roman" w:cs="Times New Roman" w:eastAsia="Times New Roman"/>
                <w:b w:val="false"/>
                <w:sz w:val="26"/>
              </w:rPr>
              <w:t>Sửa đổi, bổ sung Quyết định số 21/2018/QĐ-UBND ngày 10/7/2018 của UBND tỉnh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2026-05-17T11:49:01Z</dcterms:created>
  <dc:creator>Apache POI</dc:creator>
</cp:coreProperties>
</file>