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Hiệp thương giá đối với hàng hóa, dịch vụ thuộc thẩm quyền của Sở Tài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Bên mua hoặc bên bán hoặc cả bên mua và bên bán nộp Hồ sơ Hiệp thương giá đến Sở Tài chính.</w:t>
      </w:r>
    </w:p>
    <w:p>
      <w:pPr>
        <w:spacing w:after="0" w:before="0" w:lineRule="auto" w:line="276"/>
        <w:jc w:val="both"/>
      </w:pPr>
      <w:r>
        <w:rPr>
          <w:rFonts w:ascii="Times New Roman" w:hAnsi="Times New Roman" w:cs="Times New Roman" w:eastAsia="Times New Roman"/>
          <w:b w:val="false"/>
          <w:sz w:val="26"/>
        </w:rPr>
        <w:t>Bước 2: Sở Tài chính rà soát hồ sơ hiệp thương giá trong thời gian tối đa không quá 05 ngày làm việc kể từ ngày tổ chức, cá nhân sản xuất, kinh doanh nộp Hồ sơ hiệp thương giá (tính theo dấu công văn đến). Trường hợp Hồ sơ Hiệp thương giá không đúng quy định, Sở Tài chính thông báo bằng văn bản cho các bên tham gia hiệp thương giá biết để hoàn chỉnh theo quy định. Trong thời gian Sở Tài chính rà soát hồ sơ, bên nộp hồ sơ hiệp thương giá (bên mua, bên bán hoặc cả bên mua và bên bán) có quyền rút lại Hồ sơ Hiệp thương giá để tự thỏa thuận về mức giá mua, giá bán của hàng hóa, dịch vụ trước khi cơ quan có thẩm quyền tổ chức hiệp thương giá và phải báo cáo mức giá đã thỏa thuận và thời gian thực hiện mức giá đó cho cơ quan có thẩm quyền tổ chức hiệp thương giá.</w:t>
      </w:r>
    </w:p>
    <w:p>
      <w:pPr>
        <w:spacing w:after="0" w:before="0" w:lineRule="auto" w:line="276"/>
        <w:jc w:val="both"/>
      </w:pPr>
      <w:r>
        <w:rPr>
          <w:rFonts w:ascii="Times New Roman" w:hAnsi="Times New Roman" w:cs="Times New Roman" w:eastAsia="Times New Roman"/>
          <w:b w:val="false"/>
          <w:sz w:val="26"/>
        </w:rPr>
        <w:t xml:space="preserve"> Bước 3: Tổ chức hiệp thương giá trong thời gian tối đa 15 ngày làm việc kể từ ngày nhận Hồ sơ hiệp thương giá theo quy định (tính theo dấu công văn đến)
- Sở Tài chính thông báo bằng văn bản cho các bên tham gia hiệp thương giá về thời gian tổ chức hiệp thương;
- Sở Tài chính tổ chức Hội nghị hiệp thương giá và lập biên bản hiệp thương giá (có chữ ký của cơ quan tổ chức hiệp thương giá, đại diện bên mua, đại diện bên bán).</w:t>
      </w:r>
    </w:p>
    <w:p>
      <w:pPr>
        <w:spacing w:after="0" w:before="0" w:lineRule="auto" w:line="276"/>
        <w:jc w:val="both"/>
      </w:pPr>
      <w:r>
        <w:rPr>
          <w:rFonts w:ascii="Times New Roman" w:hAnsi="Times New Roman" w:cs="Times New Roman" w:eastAsia="Times New Roman"/>
          <w:b w:val="false"/>
          <w:sz w:val="26"/>
        </w:rPr>
        <w:t xml:space="preserve"> Bước 4: Sở Tài chính thông báo kết quả hiệp thương giá để hai bên mua và bán thực hiện.
- Trường hợp bên mua và bên bán thống nhất với mức giá được Sở Tài chính hiệp thương thì thông báo mức giá đã được thống nhất để hai bên mua và bán thực hiện.
- Trường hợp đã tổ chức hiệp thương giá nhưng các bên chưa thống nhất được mức giá thì Sở Tài chính quyết định giá tạm thời để hai bên thực hiện. Quyết định giá tạm thời có hiệu lực thi hành tối đa là 06 tháng. Trong thời gian thi hành quyết định giá tạm thời, các bên tiếp tục thương thảo về giá. Nếu các bên thống nhất được giá thì thực hiện theo giá đã thống nhất và có trách nhiệm báo cáo cơ quan tổ chức hiệp thương biết giá đã thống nhất, thời gian thực hiện.
Hết thời hạn 06 tháng, nếu các bên không thỏa thuận được giá thì cơ quan có thẩm quyền tổ chức hiệp thương giá lần hai. Nếu các bên vẫn không đạt được thỏa thuận về giá thì quyết định giá tạm thời vẫn tiếp tục có hiệu lực thi hành cho đến khi đạt được thỏa thuận về mức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tiếp đến Bộ phận Một cửa - Sở Tài chính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hiệp thương giá</w:t>
            </w:r>
          </w:p>
        </w:tc>
        <w:tc>
          <w:p/>
          <w:p>
            <w:pPr>
              <w:spacing w:after="0" w:before="0" w:lineRule="auto" w:line="276"/>
              <w:jc w:val="left"/>
            </w:pPr>
            <w:r>
              <w:rPr>
                <w:rFonts w:ascii="Times New Roman" w:hAnsi="Times New Roman" w:cs="Times New Roman" w:eastAsia="Times New Roman"/>
                <w:b w:val="false"/>
                <w:sz w:val="26"/>
              </w:rPr>
              <w:t>Ho so Hiep thuong gia.doc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giá hiệp thương</w:t>
            </w:r>
          </w:p>
        </w:tc>
        <w:tc>
          <w:p/>
          <w:p>
            <w:pPr>
              <w:spacing w:after="0" w:before="0" w:lineRule="auto" w:line="276"/>
              <w:jc w:val="left"/>
            </w:pPr>
            <w:r>
              <w:rPr>
                <w:rFonts w:ascii="Times New Roman" w:hAnsi="Times New Roman" w:cs="Times New Roman" w:eastAsia="Times New Roman"/>
                <w:b w:val="false"/>
                <w:sz w:val="26"/>
              </w:rPr>
              <w:t>Phuong an Hiep thuong gia.doc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hiệp thương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Sở Tài chính thành phố Hà Nội, Số 38B Hai Bà Trưng,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11/2012/QH13</w:t>
            </w:r>
          </w:p>
        </w:tc>
        <w:tc>
          <w:p/>
          <w:p>
            <w:pPr>
              <w:spacing w:after="0" w:before="0" w:lineRule="auto" w:line="276"/>
              <w:jc w:val="left"/>
            </w:pPr>
            <w:r>
              <w:rPr>
                <w:rFonts w:ascii="Times New Roman" w:hAnsi="Times New Roman" w:cs="Times New Roman" w:eastAsia="Times New Roman"/>
                <w:b w:val="false"/>
                <w:sz w:val="26"/>
              </w:rPr>
              <w:t>Luật 11/2012/QH13 - Giá</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56/2014/TT-BTC</w:t>
            </w:r>
          </w:p>
        </w:tc>
        <w:tc>
          <w:p/>
          <w:p>
            <w:pPr>
              <w:spacing w:after="0" w:before="0" w:lineRule="auto" w:line="276"/>
              <w:jc w:val="left"/>
            </w:pPr>
            <w:r>
              <w:rPr>
                <w:rFonts w:ascii="Times New Roman" w:hAnsi="Times New Roman" w:cs="Times New Roman" w:eastAsia="Times New Roman"/>
                <w:b w:val="false"/>
                <w:sz w:val="26"/>
              </w:rPr>
              <w:t>Thông tư 56/2014/TT-BTC</w:t>
            </w:r>
          </w:p>
        </w:tc>
        <w:tc>
          <w:p/>
          <w:p>
            <w:pPr>
              <w:spacing w:after="0" w:before="0" w:lineRule="auto" w:line="276"/>
              <w:jc w:val="left"/>
            </w:pPr>
            <w:r>
              <w:rPr>
                <w:rFonts w:ascii="Times New Roman" w:hAnsi="Times New Roman" w:cs="Times New Roman" w:eastAsia="Times New Roman"/>
                <w:b w:val="false"/>
                <w:sz w:val="26"/>
              </w:rPr>
              <w:t>28-04-2014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 Hàng hóa, dịch vụ không thuộc Danh mục hàng hóa, dịch vụ do Nhà nước định giá;
- Hàng hóa, dịch vụ quan trọng được sản xuất, kinh doanh trong điều kiện đặc thù hoặc có thị trường cạnh tranh hạn chế; có tính chất độc quyền mua hoặc độc quyền bán hoặc bên mua, bên bán phụ thuộc nhau không thể thay thế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2026-05-21T14:17:34Z</dcterms:created>
  <dc:creator>Apache POI</dc:creator>
</cp:coreProperties>
</file>