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mới Giấy phép vận chuyển hàng nguy hiểm là các chất ôxy hóa, các hợp chất ô xít hữu cơ (thuộc loại 5) và các chất ăn mòn (thuộc loại 8) bằng phương tiện giao thông cơ giới đường bộ, đường sắt và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có nhu cầu vận chuyển hàng nguy hiểm bằng phương tiện giao thông cơ giới đường bộ, đường sắt, đường thủy nội địa chuẩn bị hồ sơ theo quy định và gửi hồ sơ qua đường bưu điện hoặc nộp trực tiếp tại trụ sở hoặc qua Cổng thông tin điện tử của Chi cục Tiêu chuẩn Đo lường Chất lượng tỉnh, thành phố trực thuộc Trung ương nơi tổ chức, cá nhân đăng ký doanh nghiệp, cụ thể:</w:t>
      </w:r>
    </w:p>
    <w:p>
      <w:pPr>
        <w:spacing w:after="0" w:before="0" w:lineRule="auto" w:line="276"/>
        <w:jc w:val="both"/>
      </w:pPr>
      <w:r>
        <w:rPr>
          <w:rFonts w:ascii="Times New Roman" w:hAnsi="Times New Roman" w:cs="Times New Roman" w:eastAsia="Times New Roman"/>
          <w:b w:val="false"/>
          <w:sz w:val="26"/>
        </w:rPr>
        <w:t>- Trường hợp nộp hồ sơ trực tiếp tại trụ sở Chi cục Tiêu chuẩn Đo lường Chất lượng, các tài liệu quy định chưa được chứng thực từ bản chính, tổ chức, cá nhân phải xuất trình bản chính để đối chiếu.</w:t>
      </w:r>
    </w:p>
    <w:p>
      <w:pPr>
        <w:spacing w:after="0" w:before="0" w:lineRule="auto" w:line="276"/>
        <w:jc w:val="both"/>
      </w:pPr>
      <w:r>
        <w:rPr>
          <w:rFonts w:ascii="Times New Roman" w:hAnsi="Times New Roman" w:cs="Times New Roman" w:eastAsia="Times New Roman"/>
          <w:b w:val="false"/>
          <w:sz w:val="26"/>
        </w:rPr>
        <w:t xml:space="preserve">- Trường hợp hồ sơ được gửi qua bưu điện, các tài liệu quy định, tổ chức, cá nhân phải nộp bản sao đã được chứng thực từ bản chính. </w:t>
      </w:r>
    </w:p>
    <w:p>
      <w:pPr>
        <w:spacing w:after="0" w:before="0" w:lineRule="auto" w:line="276"/>
        <w:jc w:val="both"/>
      </w:pPr>
      <w:r>
        <w:rPr>
          <w:rFonts w:ascii="Times New Roman" w:hAnsi="Times New Roman" w:cs="Times New Roman" w:eastAsia="Times New Roman"/>
          <w:b w:val="false"/>
          <w:sz w:val="26"/>
        </w:rPr>
        <w:t>- Trường hợp nộp hồ sơ qua Cổng thông tin điện tử của Chi cục Tiêu chuẩn Đo lường Chất lượng, thực hiện theo văn bản hướng dẫn về giải quyết thủ tục hành chính trực tuyến tại địa phương.</w:t>
      </w:r>
    </w:p>
    <w:p>
      <w:pPr>
        <w:spacing w:after="0" w:before="0" w:lineRule="auto" w:line="276"/>
        <w:jc w:val="both"/>
      </w:pPr>
      <w:r>
        <w:rPr>
          <w:rFonts w:ascii="Times New Roman" w:hAnsi="Times New Roman" w:cs="Times New Roman" w:eastAsia="Times New Roman"/>
          <w:b w:val="false"/>
          <w:sz w:val="26"/>
        </w:rPr>
        <w:t>Thời gian tiếp nhận hồ sơ: Sáng từ 08 giờ đến 12 giờ và chiều từ 13 giờ đến 17 giờ vào ngày làm việc trong tuần (trừ ngày thứ bảy, chủ nhật và ngày lễ).</w:t>
      </w:r>
    </w:p>
    <w:p>
      <w:pPr>
        <w:spacing w:after="0" w:before="0" w:lineRule="auto" w:line="276"/>
        <w:jc w:val="both"/>
      </w:pPr>
      <w:r>
        <w:rPr>
          <w:rFonts w:ascii="Times New Roman" w:hAnsi="Times New Roman" w:cs="Times New Roman" w:eastAsia="Times New Roman"/>
          <w:b w:val="false"/>
          <w:sz w:val="26"/>
        </w:rPr>
        <w:t xml:space="preserve">Bước 2: Xử lý hồ sơ
Chi cục Tiêu chuẩn Đo lường Chất lượng tiếp nhận hồ sơ, xem xét, thẩm định theo quy định: </w:t>
      </w:r>
    </w:p>
    <w:p>
      <w:pPr>
        <w:spacing w:after="0" w:before="0" w:lineRule="auto" w:line="276"/>
        <w:jc w:val="both"/>
      </w:pPr>
      <w:r>
        <w:rPr>
          <w:rFonts w:ascii="Times New Roman" w:hAnsi="Times New Roman" w:cs="Times New Roman" w:eastAsia="Times New Roman"/>
          <w:b w:val="false"/>
          <w:sz w:val="26"/>
        </w:rPr>
        <w:t>- Trường hợp hồ sơ chưa hợp lệ hoặc hồ sơ đầy đủ nhưng nội dung chưa hợp lệ, Chi cục Tiêu chuẩn Đo lường Chất lượng thông báo bằng thư điện tử (email) hoặc bằng văn bản cho tổ chức, cá nhân đề nghị bổ sung hồ sơ theo quy định.</w:t>
      </w:r>
    </w:p>
    <w:p>
      <w:pPr>
        <w:spacing w:after="0" w:before="0" w:lineRule="auto" w:line="276"/>
        <w:jc w:val="both"/>
      </w:pPr>
      <w:r>
        <w:rPr>
          <w:rFonts w:ascii="Times New Roman" w:hAnsi="Times New Roman" w:cs="Times New Roman" w:eastAsia="Times New Roman"/>
          <w:b w:val="false"/>
          <w:sz w:val="26"/>
        </w:rPr>
        <w:t>Sau 30 (ba mươi) ngày kể từ ngày có thông báo yêu cầu tổ chức, cá nhân bổ sung hồ sơ nhưng không nhận được văn bản giải trình lý do không bổ sung được hồ sơ theo quy định, Chi cục Tiêu chuẩn Đo lường Chất lượng có văn bản thông báo từ chối cấp Giấy phép vận chuyển hàng nguy hiểm và nêu rõ lý do.</w:t>
      </w:r>
    </w:p>
    <w:p>
      <w:pPr>
        <w:spacing w:after="0" w:before="0" w:lineRule="auto" w:line="276"/>
        <w:jc w:val="both"/>
      </w:pPr>
      <w:r>
        <w:rPr>
          <w:rFonts w:ascii="Times New Roman" w:hAnsi="Times New Roman" w:cs="Times New Roman" w:eastAsia="Times New Roman"/>
          <w:b w:val="false"/>
          <w:sz w:val="26"/>
        </w:rPr>
        <w:t>- Trường hợp hồ sơ đầy đủ và hợp lệ, Chi cục Tiêu chuẩn Đo lường Chất lượng tổ chức thẩm định hồ sơ và cấp Giấy phép vận chuyển hàng nguy hiểm cho tổ chức, cá nhân.</w:t>
      </w:r>
    </w:p>
    <w:p>
      <w:pPr>
        <w:spacing w:after="0" w:before="0" w:lineRule="auto" w:line="276"/>
        <w:jc w:val="both"/>
      </w:pPr>
      <w:r>
        <w:rPr>
          <w:rFonts w:ascii="Times New Roman" w:hAnsi="Times New Roman" w:cs="Times New Roman" w:eastAsia="Times New Roman"/>
          <w:b w:val="false"/>
          <w:sz w:val="26"/>
        </w:rPr>
        <w:t>-  Trường hợp hồ sơ đề nghị vận chuyển hàng nguy hiểm có số lượng lớn hơn mức quy định tại cột 7 Phụ lục 1 về ngưỡng khối lượng cần xây dựng phương án ứng cứu khẩn cấp ban hành kèm theo Thông tư số 44/2012/TT-BCT ngày 28 tháng 12 năm 2012 của Bộ Công Thương quy định Danh mục hàng công nghiệp nguy hiểm phải đóng gói trong quá trình vận chuyển và vận chuyển hàng công nghiệp nguy hiểm bằng phương tiện giao thông cơ giới đường bộ, đường sắt và đường thủy nội địa, Chi cục Tiêu chuẩn Đo lường Chất lượng cần tổ chức thẩm định thực tế tại trụ sở hoặc kho, bãi tập kết hàng của tổ chức, cá nhân.</w:t>
      </w:r>
    </w:p>
    <w:p>
      <w:pPr>
        <w:spacing w:after="0" w:before="0" w:lineRule="auto" w:line="276"/>
        <w:jc w:val="both"/>
      </w:pPr>
      <w:r>
        <w:rPr>
          <w:rFonts w:ascii="Times New Roman" w:hAnsi="Times New Roman" w:cs="Times New Roman" w:eastAsia="Times New Roman"/>
          <w:b w:val="false"/>
          <w:sz w:val="26"/>
        </w:rPr>
        <w:t>+ Việc thẩm định thực tế được sử dụng chuyên gia và thành lập Tổ thẩm định để thực hiện. Tổ thẩm định do Chi cục trưởng Chi cục Tiêu chuẩn Đo lường Chất lượng ra quyết định thành lập.</w:t>
      </w:r>
    </w:p>
    <w:p>
      <w:pPr>
        <w:spacing w:after="0" w:before="0" w:lineRule="auto" w:line="276"/>
        <w:jc w:val="both"/>
      </w:pPr>
      <w:r>
        <w:rPr>
          <w:rFonts w:ascii="Times New Roman" w:hAnsi="Times New Roman" w:cs="Times New Roman" w:eastAsia="Times New Roman"/>
          <w:b w:val="false"/>
          <w:sz w:val="26"/>
        </w:rPr>
        <w:t>+ Sau khi kết thúc thẩm định thực tế, Tổ thẩm định phải lập Biên bản thẩm định thực tế, trong đó phải kết luận rõ hồ sơ đề nghị cấp Giấy phép vận chuyển hàng nguy hiểm phù hợp hoặc không phù hợp với quy định và kiến nghị cấp hoặc không cấp Giấy phép vận chuyển hàng nguy hiểm cho tổ chức, cá nhân hoặc nêu rõ các nội dung yêu cầu tổ chức, cá nhân phải khắc phục.</w:t>
      </w:r>
    </w:p>
    <w:p>
      <w:pPr>
        <w:spacing w:after="0" w:before="0" w:lineRule="auto" w:line="276"/>
        <w:jc w:val="both"/>
      </w:pPr>
      <w:r>
        <w:rPr>
          <w:rFonts w:ascii="Times New Roman" w:hAnsi="Times New Roman" w:cs="Times New Roman" w:eastAsia="Times New Roman"/>
          <w:b w:val="false"/>
          <w:sz w:val="26"/>
        </w:rPr>
        <w:t>+ Trường hợp tổ chức, cá nhân không phải thực hiện hành động khắc phục để hoàn thiện hồ sơ cấp Giấy phép vận chuyển hàng nguy hiểm, Chi cục Tiêu chuẩn Đo lường Chất lượng có trách nhiệm cấp Giấy phép vận chuyển hàng nguy hiểm cho tổ chức, cá nhân.</w:t>
      </w:r>
    </w:p>
    <w:p>
      <w:pPr>
        <w:spacing w:after="0" w:before="0" w:lineRule="auto" w:line="276"/>
        <w:jc w:val="both"/>
      </w:pPr>
      <w:r>
        <w:rPr>
          <w:rFonts w:ascii="Times New Roman" w:hAnsi="Times New Roman" w:cs="Times New Roman" w:eastAsia="Times New Roman"/>
          <w:b w:val="false"/>
          <w:sz w:val="26"/>
        </w:rPr>
        <w:t>+ Trường hợp tổ chức, cá nhân phải thực hiện hành động khắc phục để hoàn thiện hồ sơ cấp Giấy phép vận chuyển hàng nguy hiểm, Chi cục Tiêu chuẩn Đo lường Chất lượng tổ chức thẩm định bổ sung kết quả hành động khắc phục. Việc thẩm định bổ sung do Tổ thẩm định thực hiện. Kết quả thẩm định bổ sung phải được lập thành Biên bản và ghi rõ là “Biên bản thẩm định bổ sung”. Nội dung Biên bản thẩm định bổ sung nêu rõ kết luận đạt yêu cầu hoặc không đạt yêu cầu và kiến nghị cấp hay không cấp Giấy phép vận chuyển hàng nguy hiểm cho tổ chức, cá nhân.</w:t>
      </w:r>
    </w:p>
    <w:p>
      <w:pPr>
        <w:spacing w:after="0" w:before="0" w:lineRule="auto" w:line="276"/>
        <w:jc w:val="both"/>
      </w:pPr>
      <w:r>
        <w:rPr>
          <w:rFonts w:ascii="Times New Roman" w:hAnsi="Times New Roman" w:cs="Times New Roman" w:eastAsia="Times New Roman"/>
          <w:b w:val="false"/>
          <w:sz w:val="26"/>
        </w:rPr>
        <w:t>Sau khi có kết quả thẩm định bổ sung, Chi cục Tiêu chuẩn Đo lường Chất lượng có trách nhiệm cấp hoặc từ chối cấp Giấy phép vận chuyển hàng nguy hiểm cho tổ chức, cá nhân. Trường hợp từ chối cấp Giấy phép vận chuyển hàng nguy hiểm thì văn bản từ chối phải nêu rõ lý do.</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Chi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 Trong thời hạn 05 (năm) ngày làm việc kể từ ngày nhận được hồ sơ của tổ chức, cá nhân, Chi cục Tiêu chuẩn Đo lường Chất lượng tiến hành thẩm xét hồ sơ:
+ Trường hợp hồ sơ không đáp ứng yêu cầu quy định, Chi cục Tiêu chuẩn Đo lường Chất lượng thông báo bằng thư điện tử (email) hoặc bằng văn bản cho tổ chức, cá nhân đề nghị bổ sung hồ sơ theo quy định. Sau 30 (ba mươi) ngày kể từ ngày có thông báo yêu cầu tổ chức, cá nhân bổ sung hồ sơ nhưng không nhận được văn bản giải trình lý do không bổ sung được hồ sơ theo quy định, Chi cục Tiêu chuẩn Đo lường Chất lượng có văn bản thông báo từ chối cấp Giấy phép vận chuyển hàng nguy hiểm và nêu rõ lý do.
+ Trường hợp hồ sơ hợp lệ, Chi cục Tiêu chuẩn Đo lường Chất lượng cấp Giấy phép vận chuyển hàng nguy hiểm cho tổ chức, cá nhân.
+ Trường hợp phải thẩm định thực tế:
•	Trường hợp tổ chức, cá nhân không phải thực hiện hành động khắc phục để hoàn thiện hồ sơ, trong thời hạn 02 (hai) ngày làm việc kể từ ngày có Biên bản thẩm định thực tế, Chi cục Tiêu chuẩn Đo lường Chất lượng cấp Giấy phép vận chuyển hàng nguy hiểm cho tổ chức, cá nhân.
•	Trường hợp tổ chức, cá nhân phải thực hiện hành động khắc phục để hoàn thiện hồ sơ cấp Giấy phép vận chuyển hàng nguy hiểm thì thời hạn khắc phục tối đa không quá 30 (ba mươi) ngày làm việc kể từ ngày có Biên bản thẩm định thực tế. Trong thời hạn 03 (ba) ngày làm việc kể từ ngày Chi cục Tiêu chuẩn Đo lường Chất lượng nhận được báo cáo bằng văn bản của tổ chức, cá nhân đề nghị cấp Giấy phép vận chuyển hàng nguy hiểm với nội dung đã hoàn thành hành động khắc phục, Chi cục Tiêu chuẩn Đo lường Chất lượng tổ chức thẩm định bổ sung kết quả hành động khắc phục.
Trong thời hạn 02 (hai) ngày làm việc kể từ ngày có kết quả thẩm định bổ sung, Chi cục Tiêu chuẩn Đo lường Chất lượng có trách nhiệm cấp hoặc từ chối cấp Giấy phép vận chuyển hàng nguy hiểm cho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 Trong thời hạn 05 (năm) ngày làm việc kể từ ngày nhận được hồ sơ của tổ chức, cá nhân, Chi cục Tiêu chuẩn Đo lường Chất lượng tiến hành thẩm xét hồ sơ:
+ Trường hợp hồ sơ không đáp ứng yêu cầu quy định, Chi cục Tiêu chuẩn Đo lường Chất lượng thông báo bằng thư điện tử (email) hoặc bằng văn bản cho tổ chức, cá nhân đề nghị bổ sung hồ sơ theo quy định. Sau 30 (ba mươi) ngày kể từ ngày có thông báo yêu cầu tổ chức, cá nhân bổ sung hồ sơ nhưng không nhận được văn bản giải trình lý do không bổ sung được hồ sơ theo quy định, Chi cục Tiêu chuẩn Đo lường Chất lượng có văn bản thông báo từ chối cấp Giấy phép vận chuyển hàng nguy hiểm và nêu rõ lý do.
+ Trường hợp hồ sơ hợp lệ, Chi cục Tiêu chuẩn Đo lường Chất lượng cấp Giấy phép vận chuyển hàng nguy hiểm cho tổ chức, cá nhân.
+ Trường hợp phải thẩm định thực tế:
•	Trường hợp tổ chức, cá nhân không phải thực hiện hành động khắc phục để hoàn thiện hồ sơ, trong thời hạn 02 (hai) ngày làm việc kể từ ngày có Biên bản thẩm định thực tế, Chi cục Tiêu chuẩn Đo lường Chất lượng cấp Giấy phép vận chuyển hàng nguy hiểm cho tổ chức, cá nhân.
•	Trường hợp tổ chức, cá nhân phải thực hiện hành động khắc phục để hoàn thiện hồ sơ cấp Giấy phép vận chuyển hàng nguy hiểm thì thời hạn khắc phục tối đa không quá 30 (ba mươi) ngày làm việc kể từ ngày có Biên bản thẩm định thực tế. Trong thời hạn 03 (ba) ngày làm việc kể từ ngày Chi cục Tiêu chuẩn Đo lường Chất lượng nhận được báo cáo bằng văn bản của tổ chức, cá nhân đề nghị cấp Giấy phép vận chuyển hàng nguy hiểm với nội dung đã hoàn thành hành động khắc phục, Chi cục Tiêu chuẩn Đo lường Chất lượng tổ chức thẩm định bổ sung kết quả hành động khắc phục.
Trong thời hạn 02 (hai) ngày làm việc kể từ ngày có kết quả thẩm định bổ sung, Chi cục Tiêu chuẩn Đo lường Chất lượng có trách nhiệm cấp hoặc từ chối cấp Giấy phép vận chuyển hàng nguy hiểm cho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 Trong thời hạn 05 (năm) ngày làm việc kể từ ngày nhận được hồ sơ của tổ chức, cá nhân, Chi cục Tiêu chuẩn Đo lường Chất lượng tiến hành thẩm xét hồ sơ:
+ Trường hợp hồ sơ không đáp ứng yêu cầu quy định, Chi cục Tiêu chuẩn Đo lường Chất lượng thông báo bằng thư điện tử (email) hoặc bằng văn bản cho tổ chức, cá nhân đề nghị bổ sung hồ sơ theo quy định. Sau 30 (ba mươi) ngày kể từ ngày có thông báo yêu cầu tổ chức, cá nhân bổ sung hồ sơ nhưng không nhận được văn bản giải trình lý do không bổ sung được hồ sơ theo quy định, Chi cục Tiêu chuẩn Đo lường Chất lượng có văn bản thông báo từ chối cấp Giấy phép vận chuyển hàng nguy hiểm và nêu rõ lý do.
+ Trường hợp hồ sơ hợp lệ, Chi cục Tiêu chuẩn Đo lường Chất lượng cấp Giấy phép vận chuyển hàng nguy hiểm cho tổ chức, cá nhân.
+ Trường hợp phải thẩm định thực tế:
•	Trường hợp tổ chức, cá nhân không phải thực hiện hành động khắc phục để hoàn thiện hồ sơ, trong thời hạn 02 (hai) ngày làm việc kể từ ngày có Biên bản thẩm định thực tế, Chi cục Tiêu chuẩn Đo lường Chất lượng cấp Giấy phép vận chuyển hàng nguy hiểm cho tổ chức, cá nhân.
•	Trường hợp tổ chức, cá nhân phải thực hiện hành động khắc phục để hoàn thiện hồ sơ cấp Giấy phép vận chuyển hàng nguy hiểm thì thời hạn khắc phục tối đa không quá 30 (ba mươi) ngày làm việc kể từ ngày có Biên bản thẩm định thực tế. Trong thời hạn 03 (ba) ngày làm việc kể từ ngày Chi cục Tiêu chuẩn Đo lường Chất lượng nhận được báo cáo bằng văn bản của tổ chức, cá nhân đề nghị cấp Giấy phép vận chuyển hàng nguy hiểm với nội dung đã hoàn thành hành động khắc phục, Chi cục Tiêu chuẩn Đo lường Chất lượng tổ chức thẩm định bổ sung kết quả hành động khắc phục.
Trong thời hạn 02 (hai) ngày làm việc kể từ ngày có kết quả thẩm định bổ sung, Chi cục Tiêu chuẩn Đo lường Chất lượng có trách nhiệm cấp hoặc từ chối cấp Giấy phép vận chuyển hàng nguy hiểm cho tổ chức, cá nhân.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vận chuyển hàng nguy hiểm;</w:t>
            </w:r>
          </w:p>
        </w:tc>
        <w:tc>
          <w:p/>
          <w:p>
            <w:pPr>
              <w:spacing w:after="0" w:before="0" w:lineRule="auto" w:line="276"/>
              <w:jc w:val="left"/>
            </w:pPr>
            <w:r>
              <w:rPr>
                <w:rFonts w:ascii="Times New Roman" w:hAnsi="Times New Roman" w:cs="Times New Roman" w:eastAsia="Times New Roman"/>
                <w:b w:val="false"/>
                <w:sz w:val="26"/>
              </w:rPr>
              <w:t>Mẫu 1.DDK.docx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tổ chức, cá nhân được phép hoạt động kinh doanh hàng nguy hiểm hoặc được phép kinh doanh vận chuyển hàng hóa theo quy định của pháp luật hiện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khai các thông tin về hàng nguy hiểm;</w:t>
            </w:r>
          </w:p>
        </w:tc>
        <w:tc>
          <w:p/>
          <w:p>
            <w:pPr>
              <w:spacing w:after="0" w:before="0" w:lineRule="auto" w:line="276"/>
              <w:jc w:val="left"/>
            </w:pPr>
            <w:r>
              <w:rPr>
                <w:rFonts w:ascii="Times New Roman" w:hAnsi="Times New Roman" w:cs="Times New Roman" w:eastAsia="Times New Roman"/>
                <w:b w:val="false"/>
                <w:sz w:val="26"/>
              </w:rPr>
              <w:t>Mẫu 2. DMHNH-LT-PT-NĐKAT.docx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điều khiển phương tiện vận chuyển còn thời hạn hiệu lực của người điều khiển phương tiện vận chuyển phù hợp với loại phương tiện dùng để vận chuyển hàng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phương tiện vận chuyển, Giấy chứng nhận kiểm định an toàn kỹ thuật và bảo vệ môi trường của phương tiện vận chuyển còn thời hạn hiệu lực do cơ quan có thẩm quyền cấp; Giấy chứng nhận bảo hiểm bắt buộc trách nhiệm dân sự của chủ phương tiện vận chuyển còn thời hạn hiệu lực do cơ quan Bảo hiểm cấp cho chủ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thương mại hoặc bản sao văn bản thỏa thuận về việc vận chuyển hàng nguy hiểm có chữ ký, đóng dấu xác nhận (nếu có) của các bên ký hợp đồng hoặc văn bản thỏa thuận trong trường hợp tổ chức, cá nhân có hàng nguy hiểm cần vận chuyển phải thuê phương tiện vận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chỉ huấn luyện an toàn lao động - vệ sinh lao động còn thời hạn hiệu lực của những người tham gia vận chuyển hàng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đã tham gia, hoàn thành khóa đào tạo và huấn luyện kỹ thuật an toàn hóa chất còn thời hạn hiệu lực do Sở Công Thương cấp cho người điều khiển phương tiện vận chuyển, người áp tải và người tham gia vận chuyển hàng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an toàn hóa chất của hàng nguy hiểm cần vận chuyển bằng tiếng Việt của doanh nghiệp sản xuất, nhập khẩu hàng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ứng cứu khẩn cấp sự cố hóa chất trong vận chuyển hàng nguy hiểm được cơ quan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làm sạch thiết bị và thực hiện các yêu cầu về bảo vệ môi trường sau khi kết thúc việc vận chuyển hàng nguy hiểm có chữ ký, đóng dấu xác nhận của tổ chức, cá nhân đề nghị cấp Giấy phép vận chuyển hàng nguy hiểm .</w:t>
            </w:r>
          </w:p>
        </w:tc>
        <w:tc>
          <w:p/>
          <w:p>
            <w:pPr>
              <w:spacing w:after="0" w:before="0" w:lineRule="auto" w:line="276"/>
              <w:jc w:val="left"/>
            </w:pPr>
            <w:r>
              <w:rPr>
                <w:rFonts w:ascii="Times New Roman" w:hAnsi="Times New Roman" w:cs="Times New Roman" w:eastAsia="Times New Roman"/>
                <w:b w:val="false"/>
                <w:sz w:val="26"/>
              </w:rPr>
              <w:t>Mẫu 3. PALSTB.docx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hàng nguy hiểm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09/2016/TT-BKHCN</w:t>
            </w:r>
          </w:p>
        </w:tc>
        <w:tc>
          <w:p/>
          <w:p>
            <w:pPr>
              <w:spacing w:after="0" w:before="0" w:lineRule="auto" w:line="276"/>
              <w:jc w:val="left"/>
            </w:pPr>
            <w:r>
              <w:rPr>
                <w:rFonts w:ascii="Times New Roman" w:hAnsi="Times New Roman" w:cs="Times New Roman" w:eastAsia="Times New Roman"/>
                <w:b w:val="false"/>
                <w:sz w:val="26"/>
              </w:rPr>
              <w:t>Thông tư 09/2016/TT-BKHCN-Quy định trình tự, thủ tục cấp giấy phép vận chuyển hàng nguy hiểm là các chất ô xy hóa, các hợp chất ô xít hữu cơ (thuộc loại 5) và các chất ăn mòn (thuộc loại 8) bằng phương tiện giao thông cơ giới đường bộ, đường sắt và đường thủy nội địa</w:t>
            </w:r>
          </w:p>
        </w:tc>
        <w:tc>
          <w:p/>
          <w:p>
            <w:pPr>
              <w:spacing w:after="0" w:before="0" w:lineRule="auto" w:line="276"/>
              <w:jc w:val="left"/>
            </w:pPr>
            <w:r>
              <w:rPr>
                <w:rFonts w:ascii="Times New Roman" w:hAnsi="Times New Roman" w:cs="Times New Roman" w:eastAsia="Times New Roman"/>
                <w:b w:val="false"/>
                <w:sz w:val="26"/>
              </w:rPr>
              <w:t>09-06-2016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11-11-2007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29/2005/NĐ-CP </w:t>
            </w:r>
          </w:p>
        </w:tc>
        <w:tc>
          <w:p/>
          <w:p>
            <w:pPr>
              <w:spacing w:after="0" w:before="0" w:lineRule="auto" w:line="276"/>
              <w:jc w:val="left"/>
            </w:pPr>
            <w:r>
              <w:rPr>
                <w:rFonts w:ascii="Times New Roman" w:hAnsi="Times New Roman" w:cs="Times New Roman" w:eastAsia="Times New Roman"/>
                <w:b w:val="false"/>
                <w:sz w:val="26"/>
              </w:rPr>
              <w:t>Nghị định số 29/2005/NĐ-CP ngày 10 tháng 3 năm 2005 của Chính phủ quy định danh mục hàng hóa nguy hiểm và việc vận tải hàng hóa nguy hiểm trên đường thủy nội địa</w:t>
            </w:r>
          </w:p>
        </w:tc>
        <w:tc>
          <w:p/>
          <w:p>
            <w:pPr>
              <w:spacing w:after="0" w:before="0" w:lineRule="auto" w:line="276"/>
              <w:jc w:val="left"/>
            </w:pPr>
            <w:r>
              <w:rPr>
                <w:rFonts w:ascii="Times New Roman" w:hAnsi="Times New Roman" w:cs="Times New Roman" w:eastAsia="Times New Roman"/>
                <w:b w:val="false"/>
                <w:sz w:val="26"/>
              </w:rPr>
              <w:t>10-03-2005</w:t>
            </w:r>
          </w:p>
        </w:tc>
        <w:tc>
          <w:p/>
        </w:tc>
      </w:tr>
      <w:tr>
        <w:tc>
          <w:p/>
          <w:p>
            <w:pPr>
              <w:spacing w:after="0" w:before="0" w:lineRule="auto" w:line="276"/>
              <w:jc w:val="left"/>
            </w:pPr>
            <w:r>
              <w:rPr>
                <w:rFonts w:ascii="Times New Roman" w:hAnsi="Times New Roman" w:cs="Times New Roman" w:eastAsia="Times New Roman"/>
                <w:b w:val="false"/>
                <w:sz w:val="26"/>
              </w:rPr>
              <w:t>108/2008/NĐ-CP</w:t>
            </w:r>
          </w:p>
        </w:tc>
        <w:tc>
          <w:p/>
          <w:p>
            <w:pPr>
              <w:spacing w:after="0" w:before="0" w:lineRule="auto" w:line="276"/>
              <w:jc w:val="left"/>
            </w:pPr>
            <w:r>
              <w:rPr>
                <w:rFonts w:ascii="Times New Roman" w:hAnsi="Times New Roman" w:cs="Times New Roman" w:eastAsia="Times New Roman"/>
                <w:b w:val="false"/>
                <w:sz w:val="26"/>
              </w:rPr>
              <w:t>Nghị định số 108/2008/NĐ-CP ngày 07 tháng 10 năm 2008 của Chính phủ quy định chi tiết và hướng dẫn thi hành một số điều của Luật Hóa chất và Nghị định số 26/2011/NĐ-CP ngày 08 tháng 4 năm 2011 của Chính phủ sửa đổi, bổ sung một số điều của Nghị định số 108/2008/NĐ-CP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07-10-2008</w:t>
            </w:r>
          </w:p>
        </w:tc>
        <w:tc>
          <w:p/>
        </w:tc>
      </w:tr>
      <w:tr>
        <w:tc>
          <w:p/>
          <w:p>
            <w:pPr>
              <w:spacing w:after="0" w:before="0" w:lineRule="auto" w:line="276"/>
              <w:jc w:val="left"/>
            </w:pPr>
            <w:r>
              <w:rPr>
                <w:rFonts w:ascii="Times New Roman" w:hAnsi="Times New Roman" w:cs="Times New Roman" w:eastAsia="Times New Roman"/>
                <w:b w:val="false"/>
                <w:sz w:val="26"/>
              </w:rPr>
              <w:t>104/2009/NĐ-CP</w:t>
            </w:r>
          </w:p>
        </w:tc>
        <w:tc>
          <w:p/>
          <w:p>
            <w:pPr>
              <w:spacing w:after="0" w:before="0" w:lineRule="auto" w:line="276"/>
              <w:jc w:val="left"/>
            </w:pPr>
            <w:r>
              <w:rPr>
                <w:rFonts w:ascii="Times New Roman" w:hAnsi="Times New Roman" w:cs="Times New Roman" w:eastAsia="Times New Roman"/>
                <w:b w:val="false"/>
                <w:sz w:val="26"/>
              </w:rPr>
              <w:t>Nghị định số 104/2009/NĐ-CP ngày 09 tháng 11 năm 2009 của Chính phủ quy định danh mục hàng nguy hiểm và vận chuyển hàng nguy hiểm bằng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09-11-2009</w:t>
            </w:r>
          </w:p>
        </w:tc>
        <w:tc>
          <w:p/>
        </w:tc>
      </w:tr>
      <w:tr>
        <w:tc>
          <w:p/>
          <w:p>
            <w:pPr>
              <w:spacing w:after="0" w:before="0" w:lineRule="auto" w:line="276"/>
              <w:jc w:val="left"/>
            </w:pPr>
            <w:r>
              <w:rPr>
                <w:rFonts w:ascii="Times New Roman" w:hAnsi="Times New Roman" w:cs="Times New Roman" w:eastAsia="Times New Roman"/>
                <w:b w:val="false"/>
                <w:sz w:val="26"/>
              </w:rPr>
              <w:t>14/2015/NĐ-CP</w:t>
            </w:r>
          </w:p>
        </w:tc>
        <w:tc>
          <w:p/>
          <w:p>
            <w:pPr>
              <w:spacing w:after="0" w:before="0" w:lineRule="auto" w:line="276"/>
              <w:jc w:val="left"/>
            </w:pPr>
            <w:r>
              <w:rPr>
                <w:rFonts w:ascii="Times New Roman" w:hAnsi="Times New Roman" w:cs="Times New Roman" w:eastAsia="Times New Roman"/>
                <w:b w:val="false"/>
                <w:sz w:val="26"/>
              </w:rPr>
              <w:t>Nghị định số 14/2015/NĐ-CP ngày 13 tháng 02 năm 2015 của Chính phủ quy định chi tiết và hướng dẫn thi hành một số điều của Luật Đường sắt</w:t>
            </w:r>
          </w:p>
        </w:tc>
        <w:tc>
          <w:p/>
          <w:p>
            <w:pPr>
              <w:spacing w:after="0" w:before="0" w:lineRule="auto" w:line="276"/>
              <w:jc w:val="left"/>
            </w:pPr>
            <w:r>
              <w:rPr>
                <w:rFonts w:ascii="Times New Roman" w:hAnsi="Times New Roman" w:cs="Times New Roman" w:eastAsia="Times New Roman"/>
                <w:b w:val="false"/>
                <w:sz w:val="26"/>
              </w:rPr>
              <w:t>13-02-2015</w:t>
            </w:r>
          </w:p>
        </w:tc>
        <w:tc>
          <w:p/>
        </w:tc>
      </w:tr>
      <w:tr>
        <w:tc>
          <w:p/>
          <w:p>
            <w:pPr>
              <w:spacing w:after="0" w:before="0" w:lineRule="auto" w:line="276"/>
              <w:jc w:val="left"/>
            </w:pPr>
            <w:r>
              <w:rPr>
                <w:rFonts w:ascii="Times New Roman" w:hAnsi="Times New Roman" w:cs="Times New Roman" w:eastAsia="Times New Roman"/>
                <w:b w:val="false"/>
                <w:sz w:val="26"/>
              </w:rPr>
              <w:t>09/2018/TT-BKHCN</w:t>
            </w:r>
          </w:p>
        </w:tc>
        <w:tc>
          <w:p/>
          <w:p>
            <w:pPr>
              <w:spacing w:after="0" w:before="0" w:lineRule="auto" w:line="276"/>
              <w:jc w:val="left"/>
            </w:pPr>
            <w:r>
              <w:rPr>
                <w:rFonts w:ascii="Times New Roman" w:hAnsi="Times New Roman" w:cs="Times New Roman" w:eastAsia="Times New Roman"/>
                <w:b w:val="false"/>
                <w:sz w:val="26"/>
              </w:rPr>
              <w:t>Thông tư số 09/2018/TT-BKHCN ngày 01/7/2018 của Bộ trưởng Bộ Khoa học và Công nghệ sửa đổi, bổ sung một số điều của Thông tư số 09/2016/TT-BKHCN ngày 09/6/2016 quy định trình tự, thủ tục cấp giấy phép vận chuyển hàng nguy hiểm là các chất ôxy hóa, các hợp chất ô xít hữu cơ (thuộc loại 5) và các chất ăn mòn (thuộc loại 8) bằng phương tiện giao thông cơ giới đường bộ, đường sắt và đường thủy nội địa.</w:t>
            </w:r>
          </w:p>
        </w:tc>
        <w:tc>
          <w:p/>
          <w:p>
            <w:pPr>
              <w:spacing w:after="0" w:before="0" w:lineRule="auto" w:line="276"/>
              <w:jc w:val="left"/>
            </w:pPr>
            <w:r>
              <w:rPr>
                <w:rFonts w:ascii="Times New Roman" w:hAnsi="Times New Roman" w:cs="Times New Roman" w:eastAsia="Times New Roman"/>
                <w:b w:val="false"/>
                <w:sz w:val="26"/>
              </w:rPr>
              <w:t>01-07-2018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mới Giấy phép vận chuyển hàng nguy hiểm là các chất ôxy hóa, các hợp chất ô xít hữu cơ (thuộc loại 5) và các chất ăn mòn (thuộc loại 8) bằng phương tiện giao thông cơ giới đường bộ, đường sắt và đường thủy nội địa</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2026-05-14T05:48:32Z</dcterms:created>
  <dc:creator>Apache POI</dc:creator>
</cp:coreProperties>
</file>