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vận chuyển hàng nguy hiểm là các chất ôxy hóa, các hợp chất ô xít hữu cơ (thuộc loại 5) và các chất ăn mòn (thuộc loại 8) bằng phương tiện giao thông cơ giới đường bộ, đường sắt và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cấp lại Giấy phép vận chuyển hàng nguy hiểm bằng phương tiện giao thông cơ giới đường bộ, đường sắt, đường thủy nội địa chuẩn bị hồ sơ theo quy định và gửi hồ sơ qua đường bưu điện hoặc nộp trực tiếp tại trụ sở hoặc qua Cổng thông tin điện tử của Chi cục Tiêu chuẩn Đo lường Chất lượng nơi đã cấp Giấy phép vận chuyển hàng nguy hiểm cho tổ chức, cá nhân:
a) Trường hợp nộp hồ sơ trực tiếp tại trụ sở Chi cục Tiêu chuẩn Đo lường Chất lượng, các tài liệu quy định chưa được chứng thực từ bản chính, tổ chức, cá nhân phải xuất trình bản chính để đối chiếu.
b) Trường hợp hồ sơ được gửi qua bưu điện, các tài liệu quy định, tổ chức, cá nhân phải nộp bản sao đã được chứng thực từ bản chính.
c) Trường hợp nộp hồ sơ qua Cổng thông tin điện tử của Chi cục Tiêu chuẩn Đo lường Chất lượng, thực hiện theo văn bản hướng dẫn về giải quyết thủ tục hành chính trực tuyến tại địa phương.
Thời gian tiếp nhận hồ sơ: Sáng từ 08 giờ đến 12 giờ và chiều từ 13 giờ đến 17 giờ vào ngày làm việc trong tuần (trừ ngày thứ bảy, chủ nhật và ngày lễ).</w:t>
      </w:r>
    </w:p>
    <w:p>
      <w:pPr>
        <w:spacing w:after="0" w:before="0" w:lineRule="auto" w:line="276"/>
        <w:jc w:val="both"/>
      </w:pPr>
      <w:r>
        <w:rPr>
          <w:rFonts w:ascii="Times New Roman" w:hAnsi="Times New Roman" w:cs="Times New Roman" w:eastAsia="Times New Roman"/>
          <w:b w:val="false"/>
          <w:sz w:val="26"/>
        </w:rPr>
        <w:t>Bước 2: Xử lý hồ sơ
Chi cục Tiêu chuẩn Đo lường Chất lượng tiếp nhận hồ sơ, xem xét, thẩm định theo quy định: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đầy đủ và hợp lệ, Chi cục Tiêu chuẩn Đo lường Chất lượng tổ chức thẩm xét hồ sơ và cấp lại Giấy phép vận chuyển hàng nguy hiểm cho tổ chức, cá nhân.</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lại Giấy phép vận chuyển hàng nguy hiểm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lại Giấy phép vận chuyển hàng nguy hiểm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nhận được hồ sơ của tổ chức, cá nhân, Chi cục Tiêu chuẩn Đo lường Chất lượng tiến hành thẩm xét hồ sơ:
+ Trường hợp hồ sơ không đáp ứng yêu cầu quy định, Chi cục Tiêu chuẩn Đo lường Chất lượng thông báo bằng thư điện tử (email) hoặc bằng văn bản cho tổ chức, cá nhân đề nghị bổ sung hồ sơ theo quy định:
Sau 30 (ba mươi) ngày kể từ ngày có thông báo yêu cầu tổ chức, cá nhân bổ sung hồ sơ nhưng không nhận được văn bản giải trình lý do không bổ sung được hồ sơ theo quy định, Chi cục Tiêu chuẩn Đo lường Chất lượng có văn bản thông báo từ chối cấp Giấy phép vận chuyển hàng nguy hiểm và nêu rõ lý do.
+ Trường hợp hồ sơ hợp lệ, Chi cục Tiêu chuẩn Đo lường Chất lượng cấp lại Giấy phép vận chuyển hàng nguy hiểm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vận chuyển hàng nguy hiểm</w:t>
            </w:r>
          </w:p>
        </w:tc>
        <w:tc>
          <w:p/>
          <w:p>
            <w:pPr>
              <w:spacing w:after="0" w:before="0" w:lineRule="auto" w:line="276"/>
              <w:jc w:val="left"/>
            </w:pPr>
            <w:r>
              <w:rPr>
                <w:rFonts w:ascii="Times New Roman" w:hAnsi="Times New Roman" w:cs="Times New Roman" w:eastAsia="Times New Roman"/>
                <w:b w:val="false"/>
                <w:sz w:val="26"/>
              </w:rPr>
              <w:t>Mẫu 5.ĐĐKL.docx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vận chuyển hàng nguy hiểm bị hư hỏng đối với trường hợp Giấy phép vận chuyển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nguy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29/2005/NĐ-CP</w:t>
            </w:r>
          </w:p>
        </w:tc>
        <w:tc>
          <w:p/>
          <w:p>
            <w:pPr>
              <w:spacing w:after="0" w:before="0" w:lineRule="auto" w:line="276"/>
              <w:jc w:val="left"/>
            </w:pPr>
            <w:r>
              <w:rPr>
                <w:rFonts w:ascii="Times New Roman" w:hAnsi="Times New Roman" w:cs="Times New Roman" w:eastAsia="Times New Roman"/>
                <w:b w:val="false"/>
                <w:sz w:val="26"/>
              </w:rPr>
              <w:t>Về việc quy định danh mục hàng hoá nguy hiểm và việc vận tải hàng hoá nguy hiểm trên đường thuỷ nội địa</w:t>
            </w:r>
          </w:p>
        </w:tc>
        <w:tc>
          <w:p/>
          <w:p>
            <w:pPr>
              <w:spacing w:after="0" w:before="0" w:lineRule="auto" w:line="276"/>
              <w:jc w:val="left"/>
            </w:pPr>
            <w:r>
              <w:rPr>
                <w:rFonts w:ascii="Times New Roman" w:hAnsi="Times New Roman" w:cs="Times New Roman" w:eastAsia="Times New Roman"/>
                <w:b w:val="false"/>
                <w:sz w:val="26"/>
              </w:rPr>
              <w:t>10-03-2005</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108/2008/NĐ-CP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07-10-2008</w:t>
            </w:r>
          </w:p>
        </w:tc>
        <w:tc>
          <w:p/>
        </w:tc>
      </w:tr>
      <w:tr>
        <w:tc>
          <w:p/>
          <w:p>
            <w:pPr>
              <w:spacing w:after="0" w:before="0" w:lineRule="auto" w:line="276"/>
              <w:jc w:val="left"/>
            </w:pPr>
            <w:r>
              <w:rPr>
                <w:rFonts w:ascii="Times New Roman" w:hAnsi="Times New Roman" w:cs="Times New Roman" w:eastAsia="Times New Roman"/>
                <w:b w:val="false"/>
                <w:sz w:val="26"/>
              </w:rPr>
              <w:t>104/2009/NĐ-CP</w:t>
            </w:r>
          </w:p>
        </w:tc>
        <w:tc>
          <w:p/>
          <w:p>
            <w:pPr>
              <w:spacing w:after="0" w:before="0" w:lineRule="auto" w:line="276"/>
              <w:jc w:val="left"/>
            </w:pPr>
            <w:r>
              <w:rPr>
                <w:rFonts w:ascii="Times New Roman" w:hAnsi="Times New Roman" w:cs="Times New Roman" w:eastAsia="Times New Roman"/>
                <w:b w:val="false"/>
                <w:sz w:val="26"/>
              </w:rPr>
              <w:t>Quy định Danh mục hàng nguy hiểm và vận chuyển hàng nguy hiểm bằng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09-11-2009</w:t>
            </w:r>
          </w:p>
        </w:tc>
        <w:tc>
          <w:p/>
        </w:tc>
      </w:tr>
      <w:tr>
        <w:tc>
          <w:p/>
          <w:p>
            <w:pPr>
              <w:spacing w:after="0" w:before="0" w:lineRule="auto" w:line="276"/>
              <w:jc w:val="left"/>
            </w:pPr>
            <w:r>
              <w:rPr>
                <w:rFonts w:ascii="Times New Roman" w:hAnsi="Times New Roman" w:cs="Times New Roman" w:eastAsia="Times New Roman"/>
                <w:b w:val="false"/>
                <w:sz w:val="26"/>
              </w:rPr>
              <w:t>14/2005/NĐ-CP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Đường sắt</w:t>
            </w:r>
          </w:p>
        </w:tc>
        <w:tc>
          <w:p/>
          <w:p>
            <w:pPr>
              <w:spacing w:after="0" w:before="0" w:lineRule="auto" w:line="276"/>
              <w:jc w:val="left"/>
            </w:pPr>
            <w:r>
              <w:rPr>
                <w:rFonts w:ascii="Times New Roman" w:hAnsi="Times New Roman" w:cs="Times New Roman" w:eastAsia="Times New Roman"/>
                <w:b w:val="false"/>
                <w:sz w:val="26"/>
              </w:rPr>
              <w:t>13-02-2015</w:t>
            </w:r>
          </w:p>
        </w:tc>
        <w:tc>
          <w:p/>
        </w:tc>
      </w:tr>
      <w:tr>
        <w:tc>
          <w:p/>
          <w:p>
            <w:pPr>
              <w:spacing w:after="0" w:before="0" w:lineRule="auto" w:line="276"/>
              <w:jc w:val="left"/>
            </w:pPr>
            <w:r>
              <w:rPr>
                <w:rFonts w:ascii="Times New Roman" w:hAnsi="Times New Roman" w:cs="Times New Roman" w:eastAsia="Times New Roman"/>
                <w:b w:val="false"/>
                <w:sz w:val="26"/>
              </w:rPr>
              <w:t>09/2016/TT-BKHCN</w:t>
            </w:r>
          </w:p>
        </w:tc>
        <w:tc>
          <w:p/>
          <w:p>
            <w:pPr>
              <w:spacing w:after="0" w:before="0" w:lineRule="auto" w:line="276"/>
              <w:jc w:val="left"/>
            </w:pPr>
            <w:r>
              <w:rPr>
                <w:rFonts w:ascii="Times New Roman" w:hAnsi="Times New Roman" w:cs="Times New Roman" w:eastAsia="Times New Roman"/>
                <w:b w:val="false"/>
                <w:sz w:val="26"/>
              </w:rPr>
              <w:t>Quy định trình tự, thủ tục cấp giấy phép vận chuyển hàng nguy hiểm là các chất ô xy hóa, các hợp chất ô xít hữu cơ (thuộc loại 5) và các chất ăn mòn (thuộc loại 8) bằng phương tiện giao thông cơ giới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09-06-2016</w:t>
            </w:r>
          </w:p>
        </w:tc>
        <w:tc>
          <w:p/>
        </w:tc>
      </w:tr>
      <w:tr>
        <w:tc>
          <w:p/>
          <w:p>
            <w:pPr>
              <w:spacing w:after="0" w:before="0" w:lineRule="auto" w:line="276"/>
              <w:jc w:val="left"/>
            </w:pPr>
            <w:r>
              <w:rPr>
                <w:rFonts w:ascii="Times New Roman" w:hAnsi="Times New Roman" w:cs="Times New Roman" w:eastAsia="Times New Roman"/>
                <w:b w:val="false"/>
                <w:sz w:val="26"/>
              </w:rPr>
              <w:t>09/2018/TT-BKHCN</w:t>
            </w:r>
          </w:p>
        </w:tc>
        <w:tc>
          <w:p/>
          <w:p>
            <w:pPr>
              <w:spacing w:after="0" w:before="0" w:lineRule="auto" w:line="276"/>
              <w:jc w:val="left"/>
            </w:pPr>
            <w:r>
              <w:rPr>
                <w:rFonts w:ascii="Times New Roman" w:hAnsi="Times New Roman" w:cs="Times New Roman" w:eastAsia="Times New Roman"/>
                <w:b w:val="false"/>
                <w:sz w:val="26"/>
              </w:rPr>
              <w:t>Sửa đổi, bổ sung một số điều Thông tư số 09/2016/TT-BKHCN ngày 09/6/2016 của Bộ trưởng Bộ Khoa học và Công nghệ quy định trình tự, thủ tục cấp giấy phép vận chuyển hàng nguy hiểm là các chất ô xy hóa, các hợp chất ô xít hữu cơ (thuộc loại 5) và các chất ăn mòn (thuộc loại 8) bằng phương tiện giao thông cơ giới đường bộ, đường sắt và đường thủy nội địa thuộc trách nhiệm của Bộ Khoa học và Công nghệ.</w:t>
            </w:r>
          </w:p>
        </w:tc>
        <w:tc>
          <w:p/>
          <w:p>
            <w:pPr>
              <w:spacing w:after="0" w:before="0" w:lineRule="auto" w:line="276"/>
              <w:jc w:val="left"/>
            </w:pPr>
            <w:r>
              <w:rPr>
                <w:rFonts w:ascii="Times New Roman" w:hAnsi="Times New Roman" w:cs="Times New Roman" w:eastAsia="Times New Roman"/>
                <w:b w:val="false"/>
                <w:sz w:val="26"/>
              </w:rPr>
              <w:t>01-07-2018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lại Giấy phép vận chuyển hàng nguy hiểm là các chất ôxy hóa, các hợp chất ô xít hữu cơ (thuộc loại 5) và các chất ăn mòn (thuộc loại 8) bằng phương tiện giao thông cơ giới đường bộ, đường sắt và đường thủy nội địa.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2026-05-19T11:09:52Z</dcterms:created>
  <dc:creator>Apache POI</dc:creator>
</cp:coreProperties>
</file>