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thu nhập cá nhân tháng/quý của tổ chức, cá nhân trả thu nhập khấu trừ thuế đối với tiền lương, tiền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Tổ chức, cá nhân trả thu nhập có phát sinh khấu trừ thuế chuẩn bị hồ sơ khai thuế, gửi đến cơ quan Thuế. Thời hạn nộp hồ sơ khai thuế tháng chậm nhất là ngày thứ 20 của tháng tiếp theo tháng phát sinh nghĩa vụ thuế. Thời hạn nộp hồ sơ khai thuế quý chậm nhất là ngày cuối cùng của tháng đầu tiên của quý tiếp theo quý phát sinh nghĩa vụ thuế.
(Thủ tục đăng ký chứng từ khấu trừ thuế TNCN được thực hiện riêng theo quy định tại Nghị định 70/2025/NĐ-CP của Chính phủ).</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trực tiếp tại cơ quan thuế hoặc hồ sơ được gửi qua đường bưu chính: cơ quan thuế thực hiện tiếp nhận, giải quyết hồ sơ theo quy định.
++ Trường hợp hồ sơ được nộp thông qua giao dịch điện tử, việc tiếp nhận, kiểm tra, chấp nhận, giải quyết hồ sơ (và trả kết quả nếu có kết quả)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lại kết quả cho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lại kết quả cho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lại kết quả cho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thu nhập cá nhân (áp dụng đối với tổ chức, cá nhân trả các khoản thu nhập từ tiền lương, tiền công) mẫu số 05/KK-TNCN theo Phụ lục I - Danh mục hồ sơ khai thuế ban hành kèm theo Nghị định số 126/2020/NĐ-CP ngày 19/10/2020 của Chính phủ và Phụ lục II - Mẫu biểu hồ sơ khai thuế ban hành kèm theo Thông tư số 80/2021/TT-BTC ngày 29/9/2021/TT-BTC của Bộ trưởng Bộ Tài chính</w:t>
            </w:r>
          </w:p>
        </w:tc>
        <w:tc>
          <w:p/>
          <w:p>
            <w:pPr>
              <w:spacing w:after="0" w:before="0" w:lineRule="auto" w:line="276"/>
              <w:jc w:val="left"/>
            </w:pPr>
            <w:r>
              <w:rPr>
                <w:rFonts w:ascii="Times New Roman" w:hAnsi="Times New Roman" w:cs="Times New Roman" w:eastAsia="Times New Roman"/>
                <w:b w:val="false"/>
                <w:sz w:val="26"/>
              </w:rPr>
              <w:t>TK05KK-TNCN.docx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Phụ lục bảng xác định số thuế thu nhập cá nhân phải nộp cho các địa phương được hưởng nguồn thu mẫu số 05-1/PBT-KK-TNCN theo Phụ lục I - Danh mục hồ sơ khai thuế ban hành kèm theo Nghị định số 126/2020/NĐ-CP ngày 19/10/2020 của Chính phủ và Phụ lục II - Mẫu biểu hồ sơ khai thuế ban hành kèm theo Thông tư số 80/2021/TT-BTC ngày 29/9/2021/TT-BTC của Bộ trưởng Bộ Tài chính</w:t>
            </w:r>
          </w:p>
        </w:tc>
        <w:tc>
          <w:p/>
          <w:p>
            <w:pPr>
              <w:spacing w:after="0" w:before="0" w:lineRule="auto" w:line="276"/>
              <w:jc w:val="left"/>
            </w:pPr>
            <w:r>
              <w:rPr>
                <w:rFonts w:ascii="Times New Roman" w:hAnsi="Times New Roman" w:cs="Times New Roman" w:eastAsia="Times New Roman"/>
                <w:b w:val="false"/>
                <w:sz w:val="26"/>
              </w:rPr>
              <w:t>BK05-1PBT-KK-TNCN.docx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137/2010/TT-BTC</w:t>
            </w:r>
          </w:p>
        </w:tc>
        <w:tc>
          <w:p/>
          <w:p>
            <w:pPr>
              <w:spacing w:after="0" w:before="0" w:lineRule="auto" w:line="276"/>
              <w:jc w:val="left"/>
            </w:pPr>
            <w:r>
              <w:rPr>
                <w:rFonts w:ascii="Times New Roman" w:hAnsi="Times New Roman" w:cs="Times New Roman" w:eastAsia="Times New Roman"/>
                <w:b w:val="false"/>
                <w:sz w:val="26"/>
              </w:rPr>
              <w:t>Thông tư 137/2010/TT-BTC</w:t>
            </w:r>
          </w:p>
        </w:tc>
        <w:tc>
          <w:p/>
          <w:p>
            <w:pPr>
              <w:spacing w:after="0" w:before="0" w:lineRule="auto" w:line="276"/>
              <w:jc w:val="left"/>
            </w:pPr>
            <w:r>
              <w:rPr>
                <w:rFonts w:ascii="Times New Roman" w:hAnsi="Times New Roman" w:cs="Times New Roman" w:eastAsia="Times New Roman"/>
                <w:b w:val="false"/>
                <w:sz w:val="26"/>
              </w:rPr>
              <w:t>15-09-2010</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TT43/2023/TT-BTC</w:t>
            </w:r>
          </w:p>
        </w:tc>
        <w:tc>
          <w:p/>
          <w:p>
            <w:pPr>
              <w:spacing w:after="0" w:before="0" w:lineRule="auto" w:line="276"/>
              <w:jc w:val="left"/>
            </w:pPr>
            <w:r>
              <w:rPr>
                <w:rFonts w:ascii="Times New Roman" w:hAnsi="Times New Roman" w:cs="Times New Roman" w:eastAsia="Times New Roman"/>
                <w:b w:val="false"/>
                <w:sz w:val="26"/>
              </w:rPr>
              <w:t>Thông tư số 43/2023/TT-BTC ngày 27/6/2023 của Bộ trưởng Bộ Tài chính sửa đổi, bổ sung một số điều của các Thông tư có quy định liên quan đến việc nộp, xuất trình và khai thông tin về đăng ký sổ hộ khẩu, sổ tạm trú hoặc giấy tờ có yêu cầu xác nhận của địa phương nơi cư trú khi thực hiện các chính sách hoặc thủ tục hành chính thuộc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27-06-2023</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sửa đổi một số điều của Thông tư 19/2021/TT-BTC ngày 18/3/2021 của Bộ trưởng Bộ Tài chính hướng dẫn giao dịch điện tử trong lĩnh vực thuế</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đăng ký khai thuế điện tử và gửi hồ sơ đến cơ quan thuế thông qua giao dịch điện tử thì phải tuân thủ đúng các quy định của pháp luật về giao dịch điện tử trong lĩnh vực thuế tại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2026-05-02T02:52:41Z</dcterms:created>
  <dc:creator>Apache POI</dc:creator>
</cp:coreProperties>
</file>