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DATA[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hạn 05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MT).
Bước 1: Người sử dụng đất chuẩn bị đầy đủ hồ sơ theo quy định.
Trường hợp Văn phòng đăng ký quyền sử dụng đất hoặc Phòng TN&MT phát hiện Giấy chứng nhận, Giấy chứng nhận quyền sở hữu nhà ở, Giấy chứng nhận quyền sở hữu công trình xây dựng đã cấp có sai sót thì thông báo cho người sử dụng đất biết và yêu cầu người sử dụng đất, chủ sở hữu tài sản gắn liền với đất nộp Giấy chứng nhận đã cấp để thực hiện đính chính.
Trường hợp sai sót do lỗi của người sử dụng đất, chủ sở hữu tài sản gắn liền với đất thì người sử dụng đất, chủ sở hữu tài sản gắn liền với đất phải có đơn đề nghị để được đính chính.
Trường hợp hồ sơ chưa đầy đủ, chưa hợp lệ thì trong thời gian tối đa 03 ngày làm việc, cơ quan tiếp nhận, xử lý hồ sơ phải thông báo và hướng dẫn người nộp hồ sơ bổ sung, hoàn chỉnh hồ sơ theo quy định.
Bước 2: Trong thời hạn 07 ngày làm việc Văn phòng đăng ký quyền sử dụng đất hoặc Phòng TN&MT có trách nhiệm:
+ Kiểm tra; lập biên bản kết luận về nội dung và nguyên nhân sai sót;
+ Lập hồ sơ trình cơ quan có thẩm quyền thực hiện đính chính vào Giấy chứng nhận đã cấp có sai sót; 
+ Chỉnh lý nội dung sai sót vào hồ sơ địa chính, cơ sở dữ liệu đất đai.
Trường hợp đính chính mà người được cấp Giấy chứng nhận có yêu cầu cấp đổi sang Giấy chứng nhận quyền sử dụng đất, quyền sở hữu nhà ở và tài sản khác gắn liền với đất thì Văn phòng đăng ký quyền sử dụng đất hoặc Phòng TN&MT trình UBND cấp huyện để cấp Giấy chứng nhận quyền sử dụng đất, quyền sở hữu nhà ở và tài sản khác gắn liền với đất. 
Trong thời hạn 03 ngày làm việc, kể từ ngày nhận được hồ sơ trình của Văn phòng Đăng ký quyền sử dụng đất hoặc Phòng TN&MT, UBND cấp huyện thực hiện đính chính vào Giấy chứng nhận đã cấp có sai sót.
Bước 3: Văn phòng đăng ký quyền sử dụng đất hoặc TN&MT trả kết quả về Bộ phận tiếp nhận và Trả kết quả để trao cho người sử dụng đất hoặc gửi về UBND cấp xã nếu nộp hồ sơ tại x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10.docx</w:t>
            </w:r>
          </w:p>
        </w:tc>
        <w:tc>
          <w:p/>
          <w:p>
            <w:pPr>
              <w:spacing w:after="0" w:before="0" w:lineRule="auto" w:line="276"/>
              <w:jc w:val="left"/>
            </w:pPr>
            <w:r>
              <w:rPr>
                <w:rFonts w:ascii="Times New Roman" w:hAnsi="Times New Roman" w:cs="Times New Roman" w:eastAsia="Times New Roman"/>
                <w:b w:val="false"/>
                <w:sz w:val="26"/>
              </w:rPr>
              <w:t>10 ngày làm việc, trong đó:
- Tại Văn phòng Đăng ký quyền sử dụng đất cấp huyện hoặc Phòng TN&amp;MT: 07 ngày làm việc;
- Tại Ủy ban nhân dân huyện: 03 ngày làm việc.
Thời gian trên không tính thời gian tiếp nhận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10.docx</w:t>
            </w:r>
          </w:p>
        </w:tc>
        <w:tc>
          <w:p/>
          <w:p>
            <w:pPr>
              <w:spacing w:after="0" w:before="0" w:lineRule="auto" w:line="276"/>
              <w:jc w:val="left"/>
            </w:pPr>
            <w:r>
              <w:rPr>
                <w:rFonts w:ascii="Times New Roman" w:hAnsi="Times New Roman" w:cs="Times New Roman" w:eastAsia="Times New Roman"/>
                <w:b w:val="false"/>
                <w:sz w:val="26"/>
              </w:rPr>
              <w:t>10 ngày làm việc, trong đó:
- Tại Văn phòng Đăng ký quyền sử dụng đất cấp huyện hoặc Phòng TN&amp;MT: 07 ngày làm việc;
- Tại Ủy ban nhân dân huyện: 03 ngày làm việc.
Thời gian trên không tính thời gian tiếp nhận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đính chính Giấy chứng nhận đối với trường hợp phát hiện sai sót do lỗi của người sử dụng đất, chủ sở hữu tài sản gắn liền với đất: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Tài nguyên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2026-05-20T07:58:13Z</dcterms:created>
  <dc:creator>Apache POI</dc:creator>
</cp:coreProperties>
</file>