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và phê duyệt kế hoạch ứng phó sự cố tràn dầu của cơ sở kinh doanh xăng dầu có nguy cơ xảy ra sự cố tràn dầu ở mức nhỏ trên đất liền (dưới 20 tấn)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và kiểm tra hồ sơ</w:t>
      </w:r>
    </w:p>
    <w:p>
      <w:pPr>
        <w:spacing w:after="0" w:before="0" w:lineRule="auto" w:line="276"/>
        <w:jc w:val="both"/>
      </w:pPr>
      <w:r>
        <w:rPr>
          <w:rFonts w:ascii="Times New Roman" w:hAnsi="Times New Roman" w:cs="Times New Roman" w:eastAsia="Times New Roman"/>
          <w:b w:val="false"/>
          <w:sz w:val="26"/>
        </w:rPr>
        <w:t>Tổ chức, cá nhân nộp hồ sơ tại UBND quận/huyện/thị xã - lấy phiếu nhận và hẹn trả kết quả giải quyết thủ tục hành chính.</w:t>
      </w:r>
    </w:p>
    <w:p>
      <w:pPr>
        <w:spacing w:after="0" w:before="0" w:lineRule="auto" w:line="276"/>
        <w:jc w:val="both"/>
      </w:pPr>
      <w:r>
        <w:rPr>
          <w:rFonts w:ascii="Times New Roman" w:hAnsi="Times New Roman" w:cs="Times New Roman" w:eastAsia="Times New Roman"/>
          <w:b w:val="false"/>
          <w:sz w:val="26"/>
        </w:rPr>
        <w:t>Bước 2: Thẩm định hồ sơ</w:t>
      </w:r>
    </w:p>
    <w:p>
      <w:pPr>
        <w:spacing w:after="0" w:before="0" w:lineRule="auto" w:line="276"/>
        <w:jc w:val="both"/>
      </w:pPr>
      <w:r>
        <w:rPr>
          <w:rFonts w:ascii="Times New Roman" w:hAnsi="Times New Roman" w:cs="Times New Roman" w:eastAsia="Times New Roman"/>
          <w:b w:val="false"/>
          <w:sz w:val="26"/>
        </w:rPr>
        <w:t>Trong thời hạn không quá 07 (bảy) ngày làm việc, kể từ ngày nhận đủ hồ sơ hợp lệ theo quy định, UBND quận, huyện, thị xã có trách nhiệm thẩm định hồ sơ. Trường hợp không đủ điều kiện, UBND quận, huyện, thị xã trả lại hồ sơ cho tổ chức, cá nhân và thông báo lý do.</w:t>
      </w:r>
    </w:p>
    <w:p>
      <w:pPr>
        <w:spacing w:after="0" w:before="0" w:lineRule="auto" w:line="276"/>
        <w:jc w:val="both"/>
      </w:pPr>
      <w:r>
        <w:rPr>
          <w:rFonts w:ascii="Times New Roman" w:hAnsi="Times New Roman" w:cs="Times New Roman" w:eastAsia="Times New Roman"/>
          <w:b w:val="false"/>
          <w:sz w:val="26"/>
        </w:rPr>
        <w:t>Bước 3: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hồ sơ và trả kết quả giải quyết TTHC của UBND quận, huyện, thị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phê duyệt Kế hoạch ứng phó sự cố tràn dầu theo mẫu quy định tại Phụ lục 02 ban hành kèm theo Quyết định số 22/QĐ-UBND ngày 12/6/2017 của UBND thành phố Hà Nội;</w:t>
            </w:r>
          </w:p>
        </w:tc>
        <w:tc>
          <w:p/>
          <w:p>
            <w:pPr>
              <w:spacing w:after="0" w:before="0" w:lineRule="auto" w:line="276"/>
              <w:jc w:val="left"/>
            </w:pPr>
            <w:r>
              <w:rPr>
                <w:rFonts w:ascii="Times New Roman" w:hAnsi="Times New Roman" w:cs="Times New Roman" w:eastAsia="Times New Roman"/>
                <w:b w:val="false"/>
                <w:sz w:val="26"/>
              </w:rPr>
              <w:t>Phụ lục 02-VB Đề nghị phê duyệt Kế hoạch ứng phó sự cố tràn dầu.doc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ứng phó sự cố tràn dầu. Hình thức trang bìa, trang phụ bìa và yêu cầu về cấu trúc và nội dung của Kế hoạch ứng phó sự cố tràn dầu thực hiện theo mẫu quy định tại các Phụ lục 04 ban hành kèm theo Quyết định số 22/2017/QĐ-UBND ngày 12/6/2017 của UBND thành phố Hà Nội</w:t>
            </w:r>
          </w:p>
        </w:tc>
        <w:tc>
          <w:p/>
          <w:p>
            <w:pPr>
              <w:spacing w:after="0" w:before="0" w:lineRule="auto" w:line="276"/>
              <w:jc w:val="left"/>
            </w:pPr>
            <w:r>
              <w:rPr>
                <w:rFonts w:ascii="Times New Roman" w:hAnsi="Times New Roman" w:cs="Times New Roman" w:eastAsia="Times New Roman"/>
                <w:b w:val="false"/>
                <w:sz w:val="26"/>
              </w:rPr>
              <w:t>Phụ lục 04-Kế hoạch ứng phó sự cố tràn dầu - cấp Huyện.doc</w:t>
            </w:r>
          </w:p>
        </w:tc>
        <w:tc>
          <w:p/>
          <w:p>
            <w:pPr>
              <w:spacing w:after="0" w:before="0" w:lineRule="auto" w:line="276"/>
              <w:jc w:val="left"/>
            </w:pPr>
            <w:r>
              <w:rPr>
                <w:rFonts w:ascii="Times New Roman" w:hAnsi="Times New Roman" w:cs="Times New Roman" w:eastAsia="Times New Roman"/>
                <w:b w:val="false"/>
                <w:sz w:val="26"/>
              </w:rPr>
              <w:t xml:space="preserve">Bản chính: </w:t>
              <w:t>5</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quận, huyện, thị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bảo vệ môi trường</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22/2017/QĐ-UBND</w:t>
            </w:r>
          </w:p>
        </w:tc>
        <w:tc>
          <w:p/>
          <w:p>
            <w:pPr>
              <w:spacing w:after="0" w:before="0" w:lineRule="auto" w:line="276"/>
              <w:jc w:val="left"/>
            </w:pPr>
            <w:r>
              <w:rPr>
                <w:rFonts w:ascii="Times New Roman" w:hAnsi="Times New Roman" w:cs="Times New Roman" w:eastAsia="Times New Roman"/>
                <w:b w:val="false"/>
                <w:sz w:val="26"/>
              </w:rPr>
              <w:t>Quyết định 22/2017/QĐ-UBND</w:t>
            </w:r>
          </w:p>
        </w:tc>
        <w:tc>
          <w:p/>
          <w:p>
            <w:pPr>
              <w:spacing w:after="0" w:before="0" w:lineRule="auto" w:line="276"/>
              <w:jc w:val="left"/>
            </w:pPr>
            <w:r>
              <w:rPr>
                <w:rFonts w:ascii="Times New Roman" w:hAnsi="Times New Roman" w:cs="Times New Roman" w:eastAsia="Times New Roman"/>
                <w:b w:val="false"/>
                <w:sz w:val="26"/>
              </w:rPr>
              <w:t>12-06-2017</w:t>
            </w:r>
          </w:p>
        </w:tc>
        <w:tc>
          <w:p/>
        </w:tc>
      </w:tr>
      <w:tr>
        <w:tc>
          <w:p/>
          <w:p>
            <w:pPr>
              <w:spacing w:after="0" w:before="0" w:lineRule="auto" w:line="276"/>
              <w:jc w:val="left"/>
            </w:pPr>
            <w:r>
              <w:rPr>
                <w:rFonts w:ascii="Times New Roman" w:hAnsi="Times New Roman" w:cs="Times New Roman" w:eastAsia="Times New Roman"/>
                <w:b w:val="false"/>
                <w:sz w:val="26"/>
              </w:rPr>
              <w:t xml:space="preserve"> 63/2014/QĐ-TTg</w:t>
            </w:r>
          </w:p>
        </w:tc>
        <w:tc>
          <w:p/>
          <w:p>
            <w:pPr>
              <w:spacing w:after="0" w:before="0" w:lineRule="auto" w:line="276"/>
              <w:jc w:val="left"/>
            </w:pPr>
            <w:r>
              <w:rPr>
                <w:rFonts w:ascii="Times New Roman" w:hAnsi="Times New Roman" w:cs="Times New Roman" w:eastAsia="Times New Roman"/>
                <w:b w:val="false"/>
                <w:sz w:val="26"/>
              </w:rPr>
              <w:t>Quyết định  63/2014/QĐ-TTg</w:t>
            </w:r>
          </w:p>
        </w:tc>
        <w:tc>
          <w:p/>
          <w:p>
            <w:pPr>
              <w:spacing w:after="0" w:before="0" w:lineRule="auto" w:line="276"/>
              <w:jc w:val="left"/>
            </w:pPr>
            <w:r>
              <w:rPr>
                <w:rFonts w:ascii="Times New Roman" w:hAnsi="Times New Roman" w:cs="Times New Roman" w:eastAsia="Times New Roman"/>
                <w:b w:val="false"/>
                <w:sz w:val="26"/>
              </w:rPr>
              <w:t>11-11-2014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các cơ sở kinh doanh xăng dầu, các dự án mới, kế hoạch ứng phó sự cố tràn dầu phải được lập và phê duyệt trước khi đi vào hoạt động.
- Đối với các cơ sở đã đi vào hoạt động trước thời điểm Quyết định số 22/2017/QĐ-UBND ngày 12/6/2017 của UBND Thành phố có hiệu lực chưa xây dựng kế hoạch ứng phó sự cố tràn dầu, phải xây dựng kế hoạch và trình cấp thẩm quyền phê duyệt trong thời hạn 01 năm kể từ ngày Quyết định số 22/2017/QĐ-UBND ngày 12/6/2017 của UBND Thành phố về Ban hành quy định về lập, thẩm định và phê duyệt Kế hoạch ứng phó sự cố tràn dầu của các cảng, cơ sở, dự án trên địa bàn Thành phố Hà Nội có hiệu lực. Nếu quá thời hạn 01 năm nêu trên cơ sở phải chịu trách nhiệm trước pháp luật và bị xử phạt theo quy định hiện hành đồng thời phải tiếp tục xây dựng kế hoạch và trình cấp thẩm quyền phê duyệt.
- Kế hoạch ứng phó sự cố tràn dầu của các cơ sở đã được phê duyệt phải được cập nhật, sửa đổi, bổ sung khi có sự thay đổi về tăng quy mô, phạm vi, lĩnh vực hoạt động đối với hoạt động kinh doanh, sản xuất, vận chuyển, chuyển tải, sử dụng dầu và các sản phẩm dầu làm tăng độ rủi ro gây ra tràn dầu ở mức độ lớn.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2026-05-07T05:23:02Z</dcterms:created>
  <dc:creator>Apache POI</dc:creator>
</cp:coreProperties>
</file>