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GTGT đối với phương pháp khấu trừ đối với hoạt động sản xuất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áp dụng phương pháp tính thuế GTGT theo phương pháp khấu trừ theo quy định của pháp luật về thuế GTGT lập hồ sơ khai thuế và gửi đến cơ quan thuế chậm nhất là ngày thứ 20 của tháng tiếp theo tháng phát sinh nghĩa vụ thuế (đối với trường hợp khai và nộp thuế GTGT theo tháng); chậm nhất là ngày cuối cùng của tháng đầu của quý tiếp theo quý phát sinh nghĩa vụ thuế (đối với trường hợp khai và nộp thuế GTGT theo quý); chậm nhất là ngày thứ 10 kể từ ngày phát sinh nghĩa vụ thuế (chỉ áp dụng đối với trường hợp khai và nộp thuế GTGT theo Tờ khai mẫu số 05/GTGT theo lần phát sinh).
Trường hợp người nộp thuế gửi hồ sơ qua giao dịch điện tử: Người nộp thuế (NNT) truy cập vào Cổng thông tin điện tử mà người nộp thuế lựa chọn (Cổng thông tin điện tử của Thuế tỉnh/TP/Cổng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Thuế tỉnh/TP (sau đây gọi là Cổng thông tin điện tử của cơ quan nhà nước có thẩm quyền)/Cổng thông tin của tổ chức cung cấp dịch vụ T-VAN) để khai hồ sơ khai thuế và các phụ lục đính kèm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cơ quan thuế hoặc được gửi qua đường bưu chính: cơ quan thuế thực hiện tiếp nhận hồ sơ theo quy định.
++ Trường hợp hồ sơ được nộp thông qua giao dịch điện tử, việc tiếp nhận, kiểm tra, chấp nhận, giải quyết hồ sơ thông qua hệ thống xử lý dữ liệu điện tử của cơ quan thuế:
+++ Tiếp nhận hồ sơ: Cổng thông tin điện tử của Thuế tỉnh/TP gửi thông báo tiếp nhận việc NNT đã nộp hồ sơ hoặc thông báo lý do không tiếp nhận hồ sơ cho NNT qua Cổng thông tin điện tử mà người nộp thuế lựa chọn lập và gửi hồ sơ (Cổng thông tin điện tử của Thuế tỉnh/TP/Cổng thông tin điện tử của cơ quan nhà nước có thẩm quyền hoặc tổ chức cung cấp dịch vụ T-VAN) chậm nhất 15 phút kể từ khi nhận được hồ sơ khai thuế điện tử của người nộp thuế.
+++ Kiểm tra, giải quyết hồ sơ: Cơ quan thuế thực hiện kiểm tra, giải quyết hồ sơ khai thuế của NNT theo quy định của Luật Quản lý thuế và các văn bản hướng dẫn thi hành:
Cơ quan thuế gửi thông báo chấp nhận/không chấp nhận hồ sơ đến Cổng thông tin điện tử mà NNT lựa chọn lập và gửi hồ sơ (Cổng thông tin điện tử của Thuế tỉnh/TP/Cổng thông tin điện tử của cơ quan nhà nước có thẩm quyền hoặc tổ chức cung cấp dịch vụ T-VAN)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cơ quan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chỉ có hoạt động sản xuất kinh doanh thông thường không thuộc các trường hợp nêu trên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GTGT mẫu số 01/GTGT</w:t>
            </w:r>
          </w:p>
        </w:tc>
        <w:tc>
          <w:p/>
          <w:p>
            <w:pPr>
              <w:spacing w:after="0" w:before="0" w:lineRule="auto" w:line="276"/>
              <w:jc w:val="left"/>
            </w:pPr>
            <w:r>
              <w:rPr>
                <w:rFonts w:ascii="Times New Roman" w:hAnsi="Times New Roman" w:cs="Times New Roman" w:eastAsia="Times New Roman"/>
                <w:b w:val="false"/>
                <w:sz w:val="26"/>
              </w:rPr>
              <w:t>01GTGT.doc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có hoạt động kinh doanh xổ số điện toán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GTGT mẫu số 01/GTGT</w:t>
            </w:r>
          </w:p>
        </w:tc>
        <w:tc>
          <w:p/>
          <w:p>
            <w:pPr>
              <w:spacing w:after="0" w:before="0" w:lineRule="auto" w:line="276"/>
              <w:jc w:val="left"/>
            </w:pPr>
            <w:r>
              <w:rPr>
                <w:rFonts w:ascii="Times New Roman" w:hAnsi="Times New Roman" w:cs="Times New Roman" w:eastAsia="Times New Roman"/>
                <w:b w:val="false"/>
                <w:sz w:val="26"/>
              </w:rPr>
              <w:t>01GTGT.doc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Phụ lục bảng phân bổ số thuế GTGT phải nộp đối với hoạt động kinh doanh xổ số điện toán mẫu số  01-3/GTGT (nếu có)</w:t>
            </w:r>
          </w:p>
        </w:tc>
        <w:tc>
          <w:p/>
          <w:p>
            <w:pPr>
              <w:spacing w:after="0" w:before="0" w:lineRule="auto" w:line="276"/>
              <w:jc w:val="left"/>
            </w:pPr>
            <w:r>
              <w:rPr>
                <w:rFonts w:ascii="Times New Roman" w:hAnsi="Times New Roman" w:cs="Times New Roman" w:eastAsia="Times New Roman"/>
                <w:b w:val="false"/>
                <w:sz w:val="26"/>
              </w:rPr>
              <w:t>01-3GTGT.doc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có hoạt động sản xuất điện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GTGT mẫu số 01/GTGT.</w:t>
            </w:r>
          </w:p>
        </w:tc>
        <w:tc>
          <w:p/>
          <w:p>
            <w:pPr>
              <w:spacing w:after="0" w:before="0" w:lineRule="auto" w:line="276"/>
              <w:jc w:val="left"/>
            </w:pPr>
            <w:r>
              <w:rPr>
                <w:rFonts w:ascii="Times New Roman" w:hAnsi="Times New Roman" w:cs="Times New Roman" w:eastAsia="Times New Roman"/>
                <w:b w:val="false"/>
                <w:sz w:val="26"/>
              </w:rPr>
              <w:t>01GTGT.doc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nộp thuế là cơ sở sản xuất thủy điện có nhà máy thủy điện nằm chung trên địa bàn các tỉnh thì nộp thêm Phụ lục bảng phân bổ số thuế GTGT phải nộp đối với hoạt động sản xuất thủy điện mẫu số 01-2/GTGT</w:t>
            </w:r>
          </w:p>
        </w:tc>
        <w:tc>
          <w:p/>
          <w:p>
            <w:pPr>
              <w:spacing w:after="0" w:before="0" w:lineRule="auto" w:line="276"/>
              <w:jc w:val="left"/>
            </w:pPr>
            <w:r>
              <w:rPr>
                <w:rFonts w:ascii="Times New Roman" w:hAnsi="Times New Roman" w:cs="Times New Roman" w:eastAsia="Times New Roman"/>
                <w:b w:val="false"/>
                <w:sz w:val="26"/>
              </w:rPr>
              <w:t>012GTGT.doc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có đơn vị phụ thuộc, địa điểm kinh doanh là cơ sở sản xuất khác tỉnh với nơi người nộp thuế đóng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GTGT mẫu số 01/GTGT</w:t>
            </w:r>
          </w:p>
        </w:tc>
        <w:tc>
          <w:p/>
          <w:p>
            <w:pPr>
              <w:spacing w:after="0" w:before="0" w:lineRule="auto" w:line="276"/>
              <w:jc w:val="left"/>
            </w:pPr>
            <w:r>
              <w:rPr>
                <w:rFonts w:ascii="Times New Roman" w:hAnsi="Times New Roman" w:cs="Times New Roman" w:eastAsia="Times New Roman"/>
                <w:b w:val="false"/>
                <w:sz w:val="26"/>
              </w:rPr>
              <w:t>01GTGT.doc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bảng phân bổ thuế GTGT phải nộp (trừ sản xuất thủy điện, kinh doanh xổ số điện toán) mẫu số 01-6/GTGT</w:t>
            </w:r>
          </w:p>
        </w:tc>
        <w:tc>
          <w:p/>
          <w:p>
            <w:pPr>
              <w:spacing w:after="0" w:before="0" w:lineRule="auto" w:line="276"/>
              <w:jc w:val="left"/>
            </w:pPr>
            <w:r>
              <w:rPr>
                <w:rFonts w:ascii="Times New Roman" w:hAnsi="Times New Roman" w:cs="Times New Roman" w:eastAsia="Times New Roman"/>
                <w:b w:val="false"/>
                <w:sz w:val="26"/>
              </w:rPr>
              <w:t>016GTGT.doc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là doanh nghiệp viễn thông có các chi nhánh hạch toán phụ thuộc tại tỉnh khác với nơi doanh nghiệp đóng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GTGT mẫu số 01/GTGT</w:t>
            </w:r>
          </w:p>
        </w:tc>
        <w:tc>
          <w:p/>
          <w:p>
            <w:pPr>
              <w:spacing w:after="0" w:before="0" w:lineRule="auto" w:line="276"/>
              <w:jc w:val="left"/>
            </w:pPr>
            <w:r>
              <w:rPr>
                <w:rFonts w:ascii="Times New Roman" w:hAnsi="Times New Roman" w:cs="Times New Roman" w:eastAsia="Times New Roman"/>
                <w:b w:val="false"/>
                <w:sz w:val="26"/>
              </w:rPr>
              <w:t>01GTGT.doc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người nộp thuế có dịch vụ viễn thông cước trả sau thì nộp thêm Phụ lục bảng phân bổ thuế GTGT phải nộp (trừ sản xuất thủy điện, kinh doanh xổ số điện toán) mẫu số 01-6/GTGT</w:t>
            </w:r>
          </w:p>
        </w:tc>
        <w:tc>
          <w:p/>
          <w:p>
            <w:pPr>
              <w:spacing w:after="0" w:before="0" w:lineRule="auto" w:line="276"/>
              <w:jc w:val="left"/>
            </w:pPr>
            <w:r>
              <w:rPr>
                <w:rFonts w:ascii="Times New Roman" w:hAnsi="Times New Roman" w:cs="Times New Roman" w:eastAsia="Times New Roman"/>
                <w:b w:val="false"/>
                <w:sz w:val="26"/>
              </w:rPr>
              <w:t>016GTGT.doc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cơ sở kinh doanh dịch vụ viễn thông mua hàng hóa, dịch vụ để đầu tư cho toàn hệ thống hạ tầng viễn thông của cơ sở kinh doanh thì nộp thêm Bảng phân bổ thuế GTGT đầu vào cho các đơn vị hạch toán phụ thuộc và cho trụ sở chính Mẫu số 01 ban hành kèm theo Thông tư số 35/2011/TT-BTC ngày 15/3/2011 của Bộ Tài chính</w:t>
            </w:r>
          </w:p>
        </w:tc>
        <w:tc>
          <w:p/>
          <w:p>
            <w:pPr>
              <w:spacing w:after="0" w:before="0" w:lineRule="auto" w:line="276"/>
              <w:jc w:val="left"/>
            </w:pPr>
            <w:r>
              <w:rPr>
                <w:rFonts w:ascii="Times New Roman" w:hAnsi="Times New Roman" w:cs="Times New Roman" w:eastAsia="Times New Roman"/>
                <w:b w:val="false"/>
                <w:sz w:val="26"/>
              </w:rPr>
              <w:t>Mus01-TT.docx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thuộc đối tượng nộp thuế GTGT theo phương pháp khấu trừ có hoạt động chuyển nhượng bất động sản tại địa bàn khác tỉnh, thành phố trực thuộc trung ương với nơi người nộp thuế đóng trụ sở chính (trừ hoạt động chuyển nhượng bất động sản của dự án đầu tư cơ sở hạ tầng, nhà để chuyển nhượng theo quy định tại điểm b khoản 1 Điều 11 Nghị định số 126/2020/NĐ-CP)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GTGT mẫu số 05/GTGT</w:t>
            </w:r>
          </w:p>
        </w:tc>
        <w:tc>
          <w:p/>
          <w:p>
            <w:pPr>
              <w:spacing w:after="0" w:before="0" w:lineRule="auto" w:line="276"/>
              <w:jc w:val="left"/>
            </w:pPr>
            <w:r>
              <w:rPr>
                <w:rFonts w:ascii="Times New Roman" w:hAnsi="Times New Roman" w:cs="Times New Roman" w:eastAsia="Times New Roman"/>
                <w:b w:val="false"/>
                <w:sz w:val="26"/>
              </w:rPr>
              <w:t>05GTGT.doc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nộp thuế phải tổng hợp doanh thu chưa có thuế giá trị gia tăng đối với hoạt động chuyển nhượng bất động sản vào hồ sơ khai thuế tại trụ sở chính để xác định số thuế phải nộp cho toàn bộ hoạt động sản xuất kinh doanh tại trụ sở chính. Số thuế giá trị gia tăng đã nộp tại tỉnh nơi có bất động sản chuyển nhượng được bù trừ với số thuế giá trị gia tăng phải nộp tại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nộp thuế thuộc đối tượng nộp thuế GTGT theo phương pháp khấu trừ là nhà thầu xây dựng (nhà thầu chính, nhà thầu phụ), ký hợp đồng (phụ lục hợp đồng) trực tiếp với chủ đầu tư để thi công công trình xây dựng (hoạt động xây dựng theo quy định của pháp luật về hệ thống ngành kinh tế quốc dân và quy định của pháp luật chuyên ngành) tại địa bàn khác tỉnh, thành phố trực thuộc trung ương với nơi người nộp thuế đóng trụ sở chính (bao gồm cả công trình, hạng mục công trình xây dựng liên quan tới nhiều tỉnh)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GTGT mẫu số 05/GTGT</w:t>
            </w:r>
          </w:p>
        </w:tc>
        <w:tc>
          <w:p/>
          <w:p>
            <w:pPr>
              <w:spacing w:after="0" w:before="0" w:lineRule="auto" w:line="276"/>
              <w:jc w:val="left"/>
            </w:pPr>
            <w:r>
              <w:rPr>
                <w:rFonts w:ascii="Times New Roman" w:hAnsi="Times New Roman" w:cs="Times New Roman" w:eastAsia="Times New Roman"/>
                <w:b w:val="false"/>
                <w:sz w:val="26"/>
              </w:rPr>
              <w:t>05GTGT.doc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nộp thuế phải tổng hợp doanh thu chưa có thuế giá trị gia tăng đối với hoạt động xây dựng vào hồ sơ khai thuế tại trụ sở chính để xác định số thuế phải nộp cho toàn bộ hoạt động sản xuất kinh doanh tại trụ sở chính. Số thuế giá trị gia tăng đã nộp tại tỉnh nơi có công trình xây dựng được bù trừ với số thuế giá trị gia tăng phải nộp tại trụ sở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2026-05-19T13:02:44Z</dcterms:created>
  <dc:creator>Apache POI</dc:creator>
</cp:coreProperties>
</file>