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doanh nghiệp tính theo tỷ lệ % trên doanh thu.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thu nhập doanh nghiệp tính thuế theo phương pháp tỷ lệ % trên doanh thu bán hàng hóa dịch vụ theo quy định của pháp luật về thuế thu nhập doanh nghiệp chuẩn bị số liệu, lập hồ sơ khai thuế và gửi đến cơ quan thuế quản lý trực tiếp.
Người nộp thuế thu nhập doanh nghiệp tính thuế theo phương pháp tỷ lệ % trên doanh thu bán hàng hóa dịch vụ theo quy định của pháp luật về thuế thu nhập doanh nghiệp thực hiện tạm nộp thuế theo quý chậm nhất là ngày 30 của tháng đầu quý sau và khai quyết toán thuế thu nhập doanh nghiệp năm chậm nhất là ngày cuối cùng của tháng thứ 3 kể từ ngày kết thúc năm dương lịch hoặc năm tài chính đối với trường hợp khai quyết toán thuế thu nhập doanh nghiệp năm; chậm nhất là ngày thứ 45 (bốn mươi lăm), kể từ ngày có quyết định giải thể, phá sản, chấm dứt hoạt động hoặc tổ chức lại doanh nghiệp. Trường hợp chuyển đổi loại hình doanh nghiệp (không bao gồm doanh nghiệp nhà nước cổ phần hóa) mà doanh nghiệp chuyển đổi kế thừa toàn bộ nghĩa vụ về thuế của doanh nghiệp được chuyển đổi thì không phải khai quyết toán thuế đến thời điểm có quyết định về việc chuyển đổi doanh nghiệp, doanh nghiệp khai quyết toán khi kết thúc năm.
Trường hợp người nộp thuế không phát sinh thường xuyên hoạt động kinh doanh hàng hoá, dịch vụ thuộc đối tượng chịu thuế thu nhập doanh nghiệp thì thực hiện kê khai thuế thu nhập doanh nghiệp theo từng lần phát sinh chậm nhất là ngày thứ 10 kể từ ngày phát sinh nghĩa vụ thuế và không phải khai quyết toán năm.
++ Trường hợp người nộp thuế gửi hồ sơ qua giao dịch điện tử: Người nộp thuế (NNT) truy cập vào Cổng thông tin điện tử mà người nộp thuế lựa chọn (Cổng dịch vụ công quốc gia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Trường hợp NNT nộp hồ sơ trực tiếp/bưu chính: NNT lập hồ sơ giấy, ký và gửi đến cơ quan thuế qua Trung tâm Phục vụ hành chính công cấp tỉnh hoặc qua 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thông tin điện tử gửi thông báo cho NNT về việc tiếp nhận hồ sơ của NNT hoặc thông báo lý do không tiếp nhận hồ sơ của NNT chậm nhất 15 phút kể từ khi nhận được hồ sơ điện tử của NNT.
+++ Kiểm tra, chấp nhận hồ sơ: Cơ quan thuế thực hiện kiểm tra, giải quyết hồ sơ khai thuế của NNT theo quy định của Luật Quản lý thuế và các văn bản hướng dẫn thi hành. Cơ quan thuế kiểm tra hồ sơ và gửi thông báo cho NNT về việc chấp nhận hoặc không chấp nhận hồ sơ của NNT qua Cổng thông tin điện tử mà người nộp thuế lựa chọn chậm nhất 01 ngày làm việc kể từ ngày ghi trên thông báo tiếp nhận hồ sơ điện tử của NNT.
++ Trường hợp hồ sơ được nộp trực tiếp hoặc gửi qua đường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khai thuế theo từng lần phát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doanh nghiệp (áp dụng đối với phương pháp tỷ lệ trên doanh thu) theo mẫu số 04/TNDN ban hành kèm theo Thông tư số 80/2021/TT-BTC.</w:t>
            </w:r>
          </w:p>
        </w:tc>
        <w:tc>
          <w:p/>
          <w:p>
            <w:pPr>
              <w:spacing w:after="0" w:before="0" w:lineRule="auto" w:line="276"/>
              <w:jc w:val="left"/>
            </w:pPr>
            <w:r>
              <w:rPr>
                <w:rFonts w:ascii="Times New Roman" w:hAnsi="Times New Roman" w:cs="Times New Roman" w:eastAsia="Times New Roman"/>
                <w:b w:val="false"/>
                <w:sz w:val="26"/>
              </w:rPr>
              <w:t>Mẫu 04.TNDN.docx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khai quyết toán theo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doanh nghiệp (áp dụng đối với phương pháp tỷ lệ trên doanh thu) theo mẫu số 04/TNDN ban hành kèm theo Thông tư số 80/2021/TT-BTC</w:t>
            </w:r>
          </w:p>
        </w:tc>
        <w:tc>
          <w:p/>
          <w:p>
            <w:pPr>
              <w:spacing w:after="0" w:before="0" w:lineRule="auto" w:line="276"/>
              <w:jc w:val="left"/>
            </w:pPr>
            <w:r>
              <w:rPr>
                <w:rFonts w:ascii="Times New Roman" w:hAnsi="Times New Roman" w:cs="Times New Roman" w:eastAsia="Times New Roman"/>
                <w:b w:val="false"/>
                <w:sz w:val="26"/>
              </w:rPr>
              <w:t>Mu04.TNDN.docx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tài chính năm hoặc Báo cáo tài chính đến thời điểm có quyết định giải thể, phá sản, chấm dứt hoạt động hoặc tổ chức lại doanh nghiệp theo quy định của pháp luật về kế toán và pháp luật về kiểm toán độc lập (trừ trường hợp không phải lập báo cáo tài chính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2026-05-19T13:00:33Z</dcterms:created>
  <dc:creator>Apache POI</dc:creator>
</cp:coreProperties>
</file>