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1464/QĐ-BTC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phát hành hóa đơn đặt in/hóa đơn tự in/hóa đơn in trực tiếp từ máy tính tiền và hóa đơn điện tử cấp cục Thuê</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(1): Tổ chức kinh doanh trước khi sử dụng hóa đơn (đặt in/tự in/in trực tiếp từ máy tính tiền) cho việc bán hàng hóa, dịch vụ (trừ hóa đơn được mua, cấp tại cơ quan thuế) phải lập và gửi Thông báo phát hành hoá đơn (kèm theo hoá đơn mẫu) đến cơ quan Thuế quản lý trực tiếp, chậm nhất năm (05) ngày trước khi tổ chức kinh doanh bắt đầu sử dụng hóa đơn và trong thời hạn mười (10) ngày, kể từ ngày ký thông báo phát hành.
Khi thay đổi địa chỉ kinh doanh dẫn đến thay đổi cơ quan thuế quản lý trực tiếp, tổ chức kinh doanh phải gửi Thông báo phát hành hóa đơn đến cơ quan thuế nơi chuyển đến (trường hợp tổ chức kinh doanh tiếp tục sử dụng số hóa đơn đã phát hành chưa sử dụng hết thì phải nộp Báo cáo tình hình sử dụng hóa đơn cho cơ quan thuế nơi chuyển đi và đóng dấu địa chỉ mới lên hóa đơn, gửi đến cơ quan thuế nơi chuyển đến Bảng kê hóa đơn chưa sử dụng theo Mẫu 3.10 Phụ lục 3 ban hành kèm theo Thông tư số 39/2014/TT-BTC ).
++ (2): Tổ chức khởi tạo hóa đơn điện tử trước khi sử dụng hóa đơn điện tử phải ra Quyết định áp dụng hoá đơn điện tử (Mẫu số 1 Phụ lục ban hành kèm theo Thông tư số 32/2011/TT-BTC); lập Thông báo phát hành hóa đơn điện tử (Mẫu số 2 Phụ lục ban hành kèm theo Thông tư số 32/2011/TT-BTC) và phải gửi Thông báo phát hành hóa đơn điện tử kèm theo Quyết định áp dụng hóa đơn điện tử đến cơ quan thuế quản lý trực tiếp (không phải gửi hóa đơn điện tử mẫu). 
 Khi thay đổi địa chỉ kinh doanh, tổ chức khởi tạo hóa đơn điện tử phải gửi thông báo phát hành hoá đơn cho cơ quan thuế nơi chuyển đến, trong đó nêu rõ số hoá đơn đã phát hành chưa sử dụng, sẽ tiếp tục sử dụng.
Khi thay đổi về nội dung đã thông báo phát hành, tổ chức khởi tạo hóa đơn điện tử thực hiện thông báo phát hành mới. 
</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trực tiếp tại cơ quan thuế, công chức thuế tiếp nhận và đóng dấu tiếp nhận hồ sơ, ghi thời gian nhận hồ sơ, ghi nhận số lượng tài liệu trong hồ sơ và ghi vào sổ văn thư của cơ quan thuế.
++ Trường hợp hồ sơ được gửi qua đường bưu chính, công chức thuế đóng dấu ghi ngày nhận hồ sơ và ghi vào sổ văn thư của cơ quan thuế.
++ Trường hợp hồ sơ được nộp thông qua giao dịch điện tử, việc tiếp nhận, kiểm tra, chấp nhận hồ sơ do cơ quan thuế thực hiện thông qua hệ thống xử lý dữ liệu điện tử.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phát hành hóa đơn theo Mẫu TB01/AC ban hành kèm theo Thông tư số 26/2015/TT-BTC.</w:t>
            </w:r>
          </w:p>
        </w:tc>
        <w:tc>
          <w:p/>
          <w:p>
            <w:pPr>
              <w:spacing w:after="0" w:before="0" w:lineRule="auto" w:line="276"/>
              <w:jc w:val="left"/>
            </w:pPr>
            <w:r>
              <w:rPr>
                <w:rFonts w:ascii="Times New Roman" w:hAnsi="Times New Roman" w:cs="Times New Roman" w:eastAsia="Times New Roman"/>
                <w:b w:val="false"/>
                <w:sz w:val="26"/>
              </w:rPr>
              <w:t>TB01-AC.doc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Hoá đơn mẫu (đối với trường hợp thông báo phát hành lần đầu và các lần tiếp theo nếu có sự thay đổi về nội dung và hình thức hóa đơn phát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kê hóa đơn chưa sử dụng theo Mẫu 3.10 Phụ lục 3 ban hành kèm theo Thông tư số 39/2014/TT-BTC (áp dụng đối với trường hợp tổ chức, hộ, cá nhân chuyển địa điểm kinh doanh).</w:t>
            </w:r>
          </w:p>
        </w:tc>
        <w:tc>
          <w:p/>
          <w:p>
            <w:pPr>
              <w:spacing w:after="0" w:before="0" w:lineRule="auto" w:line="276"/>
              <w:jc w:val="left"/>
            </w:pPr>
            <w:r>
              <w:rPr>
                <w:rFonts w:ascii="Times New Roman" w:hAnsi="Times New Roman" w:cs="Times New Roman" w:eastAsia="Times New Roman"/>
                <w:b w:val="false"/>
                <w:sz w:val="26"/>
              </w:rPr>
              <w:t>Mẫu 3.10.docx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áp dụng hoá đơn điện tử theo Mẫu số 1 Phụ lục ban hành kèm theo Thông tư số 32/2011/TT-BTC;</w:t>
            </w:r>
          </w:p>
        </w:tc>
        <w:tc>
          <w:p/>
          <w:p>
            <w:pPr>
              <w:spacing w:after="0" w:before="0" w:lineRule="auto" w:line="276"/>
              <w:jc w:val="left"/>
            </w:pPr>
            <w:r>
              <w:rPr>
                <w:rFonts w:ascii="Times New Roman" w:hAnsi="Times New Roman" w:cs="Times New Roman" w:eastAsia="Times New Roman"/>
                <w:b w:val="false"/>
                <w:sz w:val="26"/>
              </w:rPr>
              <w:t>Mẫu số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phát hành hóa đơn điện tử theo Mẫu số 2 Phụ lục ban hành kèm theo Thông tư số 32/2011/TT-BTC.</w:t>
            </w:r>
          </w:p>
        </w:tc>
        <w:tc>
          <w:p/>
          <w:p>
            <w:pPr>
              <w:spacing w:after="0" w:before="0" w:lineRule="auto" w:line="276"/>
              <w:jc w:val="left"/>
            </w:pPr>
            <w:r>
              <w:rPr>
                <w:rFonts w:ascii="Times New Roman" w:hAnsi="Times New Roman" w:cs="Times New Roman" w:eastAsia="Times New Roman"/>
                <w:b w:val="false"/>
                <w:sz w:val="26"/>
              </w:rPr>
              <w:t>Mẫu số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Trường hợp Thông báo phát hành hoá đơn do tổ chức kinh doanh gửi đến không đảm bảo đủ nội dung theo đúng quy định, trong thời hạn hai (02) ngày làm việc kể từ ngày nhận được Thông báo, cơ quan thuế phải có văn bản thông báo cho tổ chức kinh doanh biết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78/2006/QH11</w:t>
            </w:r>
          </w:p>
        </w:tc>
        <w:tc>
          <w:p/>
          <w:p>
            <w:pPr>
              <w:spacing w:after="0" w:before="0" w:lineRule="auto" w:line="276"/>
              <w:jc w:val="left"/>
            </w:pPr>
            <w:r>
              <w:rPr>
                <w:rFonts w:ascii="Times New Roman" w:hAnsi="Times New Roman" w:cs="Times New Roman" w:eastAsia="Times New Roman"/>
                <w:b w:val="false"/>
                <w:sz w:val="26"/>
              </w:rPr>
              <w:t>Luật 78/2006/QH11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51/2010/NĐ-CP </w:t>
            </w:r>
          </w:p>
        </w:tc>
        <w:tc>
          <w:p/>
          <w:p>
            <w:pPr>
              <w:spacing w:after="0" w:before="0" w:lineRule="auto" w:line="276"/>
              <w:jc w:val="left"/>
            </w:pPr>
            <w:r>
              <w:rPr>
                <w:rFonts w:ascii="Times New Roman" w:hAnsi="Times New Roman" w:cs="Times New Roman" w:eastAsia="Times New Roman"/>
                <w:b w:val="false"/>
                <w:sz w:val="26"/>
              </w:rPr>
              <w:t>Nghị định quy định về hóa đơn bán hàng hóa, cung ứng dịch vụ</w:t>
            </w:r>
          </w:p>
        </w:tc>
        <w:tc>
          <w:p/>
          <w:p>
            <w:pPr>
              <w:spacing w:after="0" w:before="0" w:lineRule="auto" w:line="276"/>
              <w:jc w:val="left"/>
            </w:pPr>
            <w:r>
              <w:rPr>
                <w:rFonts w:ascii="Times New Roman" w:hAnsi="Times New Roman" w:cs="Times New Roman" w:eastAsia="Times New Roman"/>
                <w:b w:val="false"/>
                <w:sz w:val="26"/>
              </w:rPr>
              <w:t>14-05-2010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39/2014/TT-BTC </w:t>
            </w:r>
          </w:p>
        </w:tc>
        <w:tc>
          <w:p/>
          <w:p>
            <w:pPr>
              <w:spacing w:after="0" w:before="0" w:lineRule="auto" w:line="276"/>
              <w:jc w:val="left"/>
            </w:pPr>
            <w:r>
              <w:rPr>
                <w:rFonts w:ascii="Times New Roman" w:hAnsi="Times New Roman" w:cs="Times New Roman" w:eastAsia="Times New Roman"/>
                <w:b w:val="false"/>
                <w:sz w:val="26"/>
              </w:rPr>
              <w:t>HƯỚNG DẪN THI HÀNH NGHỊ ĐỊNH SỐ 51/2010/NĐ-CP NGÀY 14 THÁNG 5 NĂM 2010 VÀ NGHỊ ĐỊNH SỐ 04/2014/NĐ-CP NGÀY 17 THÁNG 01 NĂM 2014 CỦA CHÍNH PHỦ QUY ĐỊNH VỀ HÓA ĐƠN BÁN HÀNG HÓA, CUNG ỨNG DỊCH VỤ</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83/2013/NĐ-CP</w:t>
            </w:r>
          </w:p>
        </w:tc>
        <w:tc>
          <w:p/>
          <w:p>
            <w:pPr>
              <w:spacing w:after="0" w:before="0" w:lineRule="auto" w:line="276"/>
              <w:jc w:val="left"/>
            </w:pPr>
            <w:r>
              <w:rPr>
                <w:rFonts w:ascii="Times New Roman" w:hAnsi="Times New Roman" w:cs="Times New Roman" w:eastAsia="Times New Roman"/>
                <w:b w:val="false"/>
                <w:sz w:val="26"/>
              </w:rPr>
              <w:t>Nghị định 83/2013/NĐ-CP Quy định chi tiết thi hành một số điều của Luật Quản lý thuế và Luật Sửa đổi, bổ sung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22-07-2013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26/2015/TT-BTC</w:t>
            </w:r>
          </w:p>
        </w:tc>
        <w:tc>
          <w:p/>
          <w:p>
            <w:pPr>
              <w:spacing w:after="0" w:before="0" w:lineRule="auto" w:line="276"/>
              <w:jc w:val="left"/>
            </w:pPr>
            <w:r>
              <w:rPr>
                <w:rFonts w:ascii="Times New Roman" w:hAnsi="Times New Roman" w:cs="Times New Roman" w:eastAsia="Times New Roman"/>
                <w:b w:val="false"/>
                <w:sz w:val="26"/>
              </w:rPr>
              <w:t>Thông tư 26/2015/TT-BTC</w:t>
            </w:r>
          </w:p>
        </w:tc>
        <w:tc>
          <w:p/>
          <w:p>
            <w:pPr>
              <w:spacing w:after="0" w:before="0" w:lineRule="auto" w:line="276"/>
              <w:jc w:val="left"/>
            </w:pPr>
            <w:r>
              <w:rPr>
                <w:rFonts w:ascii="Times New Roman" w:hAnsi="Times New Roman" w:cs="Times New Roman" w:eastAsia="Times New Roman"/>
                <w:b w:val="false"/>
                <w:sz w:val="26"/>
              </w:rPr>
              <w:t>27-02-2015</w:t>
            </w:r>
          </w:p>
        </w:tc>
        <w:tc>
          <w:p/>
        </w:tc>
      </w:tr>
      <w:tr>
        <w:tc>
          <w:p/>
          <w:p>
            <w:pPr>
              <w:spacing w:after="0" w:before="0" w:lineRule="auto" w:line="276"/>
              <w:jc w:val="left"/>
            </w:pPr>
            <w:r>
              <w:rPr>
                <w:rFonts w:ascii="Times New Roman" w:hAnsi="Times New Roman" w:cs="Times New Roman" w:eastAsia="Times New Roman"/>
                <w:b w:val="false"/>
                <w:sz w:val="26"/>
              </w:rPr>
              <w:t>32/2011/TT-BTC</w:t>
            </w:r>
          </w:p>
        </w:tc>
        <w:tc>
          <w:p/>
          <w:p>
            <w:pPr>
              <w:spacing w:after="0" w:before="0" w:lineRule="auto" w:line="276"/>
              <w:jc w:val="left"/>
            </w:pPr>
            <w:r>
              <w:rPr>
                <w:rFonts w:ascii="Times New Roman" w:hAnsi="Times New Roman" w:cs="Times New Roman" w:eastAsia="Times New Roman"/>
                <w:b w:val="false"/>
                <w:sz w:val="26"/>
              </w:rPr>
              <w:t>Thông tư 32/2011/TT-BTC</w:t>
            </w:r>
          </w:p>
        </w:tc>
        <w:tc>
          <w:p/>
          <w:p>
            <w:pPr>
              <w:spacing w:after="0" w:before="0" w:lineRule="auto" w:line="276"/>
              <w:jc w:val="left"/>
            </w:pPr>
            <w:r>
              <w:rPr>
                <w:rFonts w:ascii="Times New Roman" w:hAnsi="Times New Roman" w:cs="Times New Roman" w:eastAsia="Times New Roman"/>
                <w:b w:val="false"/>
                <w:sz w:val="26"/>
              </w:rPr>
              <w:t>14-03-2011</w:t>
            </w:r>
          </w:p>
        </w:tc>
        <w:tc>
          <w:p/>
        </w:tc>
      </w:tr>
      <w:tr>
        <w:tc>
          <w:p/>
          <w:p>
            <w:pPr>
              <w:spacing w:after="0" w:before="0" w:lineRule="auto" w:line="276"/>
              <w:jc w:val="left"/>
            </w:pPr>
            <w:r>
              <w:rPr>
                <w:rFonts w:ascii="Times New Roman" w:hAnsi="Times New Roman" w:cs="Times New Roman" w:eastAsia="Times New Roman"/>
                <w:b w:val="false"/>
                <w:sz w:val="26"/>
              </w:rPr>
              <w:t>110/2015/TT-BTC</w:t>
            </w:r>
          </w:p>
        </w:tc>
        <w:tc>
          <w:p/>
          <w:p>
            <w:pPr>
              <w:spacing w:after="0" w:before="0" w:lineRule="auto" w:line="276"/>
              <w:jc w:val="left"/>
            </w:pPr>
            <w:r>
              <w:rPr>
                <w:rFonts w:ascii="Times New Roman" w:hAnsi="Times New Roman" w:cs="Times New Roman" w:eastAsia="Times New Roman"/>
                <w:b w:val="false"/>
                <w:sz w:val="26"/>
              </w:rPr>
              <w:t>Thông tư 110/2015/TT-BTC</w:t>
            </w:r>
          </w:p>
        </w:tc>
        <w:tc>
          <w:p/>
          <w:p>
            <w:pPr>
              <w:spacing w:after="0" w:before="0" w:lineRule="auto" w:line="276"/>
              <w:jc w:val="left"/>
            </w:pPr>
            <w:r>
              <w:rPr>
                <w:rFonts w:ascii="Times New Roman" w:hAnsi="Times New Roman" w:cs="Times New Roman" w:eastAsia="Times New Roman"/>
                <w:b w:val="false"/>
                <w:sz w:val="26"/>
              </w:rPr>
              <w:t>28-07-2015</w:t>
            </w:r>
          </w:p>
        </w:tc>
        <w:tc>
          <w:p/>
        </w:tc>
      </w:tr>
      <w:tr>
        <w:tc>
          <w:p/>
          <w:p>
            <w:pPr>
              <w:spacing w:after="0" w:before="0" w:lineRule="auto" w:line="276"/>
              <w:jc w:val="left"/>
            </w:pPr>
            <w:r>
              <w:rPr>
                <w:rFonts w:ascii="Times New Roman" w:hAnsi="Times New Roman" w:cs="Times New Roman" w:eastAsia="Times New Roman"/>
                <w:b w:val="false"/>
                <w:sz w:val="26"/>
              </w:rPr>
              <w:t>37/2017/TT-BTC</w:t>
            </w:r>
          </w:p>
        </w:tc>
        <w:tc>
          <w:p/>
          <w:p>
            <w:pPr>
              <w:spacing w:after="0" w:before="0" w:lineRule="auto" w:line="276"/>
              <w:jc w:val="left"/>
            </w:pPr>
            <w:r>
              <w:rPr>
                <w:rFonts w:ascii="Times New Roman" w:hAnsi="Times New Roman" w:cs="Times New Roman" w:eastAsia="Times New Roman"/>
                <w:b w:val="false"/>
                <w:sz w:val="26"/>
              </w:rPr>
              <w:t>Thông tư 37/2017/TT-BTC</w:t>
            </w:r>
          </w:p>
        </w:tc>
        <w:tc>
          <w:p/>
          <w:p>
            <w:pPr>
              <w:spacing w:after="0" w:before="0" w:lineRule="auto" w:line="276"/>
              <w:jc w:val="left"/>
            </w:pPr>
            <w:r>
              <w:rPr>
                <w:rFonts w:ascii="Times New Roman" w:hAnsi="Times New Roman" w:cs="Times New Roman" w:eastAsia="Times New Roman"/>
                <w:b w:val="false"/>
                <w:sz w:val="26"/>
              </w:rPr>
              <w:t>27-04-2017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2026-05-21T16:31:27Z</dcterms:created>
  <dc:creator>Apache POI</dc:creator>
</cp:coreProperties>
</file>