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1.007039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Hoàn thuế giá trị gia tăng đối với hàng hóa, dịch vụ xuất khẩu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nộp thuế (NNT) thuộc trường hợp và đối tượng được hoàn thuế giá trị gia đối với hàng hóa, dịch vụ xuất khẩu chuẩn bị hồ sơ đề nghị hoàn và gửi đến cơ quan thuế.
Trường hợp NNT gửi hồ sơ qua giao dịch điện tử: NNT truy cập vào Cổng thông tin điện tử mà NNT lựa chọn (Cổng thông tin điện tử của Cục Thuế/Cổng thông tin điện tử của cơ quan nhà nước có thẩm quyền bao gồm: Cổng dịch vụ công quốc gia, Cổng dịch vụ công cấp Bộ, cấp tỉnh theo quy định về thực hiện cơ chế một cửa, một cửa liên thông trong giải quyết thủ tục hành chính và đã được kết nối với Cổng thông tin điện tử của Cục Thuế (sau đây gọi là Cổng thông tin điện tử của cơ quan nhà nước có thẩm quyền)/Cổng thông tin của tổ chức cung cấp dịch vụ T-VAN) để khai hồ sơ hoàn thuế và các phụ lục đính kèm theo quy định dưới dạng điện tử (nếu có), ký điện tử và gửi đến cơ quan thuế qua Cổng thông tin điện tử mà NNT lựa chọn.</w:t>
      </w:r>
    </w:p>
    <w:p>
      <w:pPr>
        <w:spacing w:after="0" w:before="0" w:lineRule="auto" w:line="276"/>
        <w:jc w:val="both"/>
      </w:pPr>
      <w:r>
        <w:rPr>
          <w:rFonts w:ascii="Times New Roman" w:hAnsi="Times New Roman" w:cs="Times New Roman" w:eastAsia="Times New Roman"/>
          <w:b w:val="false"/>
          <w:sz w:val="26"/>
        </w:rPr>
        <w:t>Bước 2. Cơ quan thuế tiếp nhận:
++ Trường hợp hồ sơ được nộp trực tiếp tại cơ quan thuế: 
+++ Tiếp nhận hồ sơ: công chức thuế tiếp nhận hồ sơ và gửi Thông báo về việc tiếp nhận hồ sơ theo mẫu số 01/TB-HT ban hành kèm theo phụ lục I Thông tư số 80/2021/TT-BTC ngày 29/9/2021 của Bộ Tài chính hướng dẫn thi hành một số điều của Luật quản lý thuế và Nghị định số 126/2020/NĐ-CP ngày 19/10/2020 của Chính phủ quy định chi tiết một số điều của Luật Quản lý thuế (sau đây gọi là Thông tư số 80/2021/TT-BTC) cho NNT và ghi sổ nhận hồ sơ trên hệ thống ứng dụng quản lý thuế.
+++ Kiểm tra, giải quyết hồ sơ: 
++++ Hồ sơ được chấp nhận/không chấp nhận: Cơ quan thuế gửi Thông báo chấp nhận/không chấp nhận hồ sơ đề nghị hoàn thuế theo mẫu số 02/TB-HT ban hành kèm theo Phụ lục I Thông tư số 80/2021/TT-BTC trong thời hạn 03 (ba) ngày làm việc kể từ ngày tiếp nhận hồ sơ đề nghị hoàn thuế.
++++ Hồ sơ được chấp nhận giải quyết: Cơ quan thuế giải quyết hồ sơ đề nghị hoàn thuế của NNT và trả kết quả theo quy định của Luật Quản lý thuế và các văn bản hướng dẫn thi hành.
++ Trường hợp hồ sơ được gửi qua đường bưu chính: 
+++ Tiếp nhận hồ sơ: công chức thuế đóng dấu tiếp nhận, ghi ngày nhận hồ sơ và ghi sổ hồ sơ trên hệ thống ứng dụng quản lý thuế.
+++ Kiểm tra, giải quyết hồ sơ:
++++ Hồ sơ được chấp nhận/không chấp nhận: Cơ quan thuế gửi thông báo chấp nhận/không chấp nhận hồ sơ đề nghị hoàn thuế theo mẫu số 02/TB-HT ban hành kèm theo Phụ lục I Thông tư số 80/2021/TT-BTC trong thời hạn 03 (ba) ngày làm việc kể từ ngày tiếp nhận hồ sơ đề nghị hoàn thuế.
++++ Hồ sơ không đúng thủ tục: Cơ quan thuế gửi Thông báo về việc hồ sơ không đúng thủ tục theo mẫu số 03/TB-HT ban hành kèm theo Phụ lục I Thông tư số 80/2021/TT-BTC trong thời hạn 03 (ba) ngày làm việc kể từ ngày tiếp nhận hồ sơ đề nghị hoàn thuế.
++++ Hồ sơ được chấp nhận giải quyết: Cơ quan thuế giải quyết hồ sơ đề nghị hoàn thuế của NNT và trả kết quả theo quy định của Luật Quản lý thuế và các văn bản hướng dẫn thi hành.
++ Trường hợp hồ sơ được nộp thông qua giao dịch điện tử, việc tiếp nhận, kiểm tra, chấp nhận hồ sơ hoàn thuế do cơ quan thuế thực hiện thông qua hệ thống xử lý dữ liệu điện tử:
+++ Tiếp nhận hồ sơ: Cổng thông tin điện tử của Cục Thuế gửi thông báo tiếp nhận việc NNT đã nộp hồ sơ đề nghị hoàn thuế theo mẫu số 01/TB-HT ban hành kèm theo Phụ lục I Thông tư số 80/2021/TT-BTC cho NNT qua Cổng thông tin điện tử mà NNT lựa chọn lập và gửi hồ sơ (Cổng thông tin điện tử của Cục Thuế/Cổng thông tin điện tử của cơ quan nhà nước có thẩm quyền hoặc tổ chức cung cấp dịch vụ T-VAN) chậm nhất 15 phút kể từ khi nhận được hồ sơ đề nghị hoàn thuế của NNT.
+++ Kiểm tra, giải quyết hồ sơ: 
++++ Hồ sơ được chấp nhận/không chấp nhận: Cơ quan thuế gửi thông báo chấp nhận/không chấp nhận hồ sơ theo mẫu số 02/TB-HT ban hành kèm theo Phụ lục I Thông tư số 80/2021/TT-BTC đến Cổng thông tin điện tử mà NNT lựa chọn lập và gửi hồ sơ (Cổng thông tin điện tử của Cục Thuế/Cổng thông tin điện tử của cơ quan nhà nước có thẩm quyền hoặc tổ chức cung cấp dịch vụ T-VAN) trong thời hạn 03 (ba) ngày làm việc kể từ ngày  thông báo tiếp nhận hồ sơ hoàn thuế điện tử.
++++ Hồ sơ được chấp nhận giải quyết: Cơ quan thuế giải quyết hồ sơ đề nghị hoàn thuế của NNT và trả kết quả theo quy định của Luật Quản lý thuế và các văn bản hướng dẫn thi hành.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hồ sơ thuộc diện hoàn thuế trước chậm nhất là 06 ngày làm việc kể từ ngày cơ quan quản lý thuế có thông báo bằng văn bản về việc chấp nhận hồ sơ;</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hồ sơ thuộc diện kiểm tra trước hoàn thuế chậm nhất là 40 ngày kể từ ngày cơ quan quản lý thuế có thông báo bằng văn bản về việc chấp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hồ sơ thuộc diện hoàn thuế trước chậm nhất là 06 ngày làm việc kể từ ngày cơ quan quản lý thuế có thông báo bằng văn bản về việc chấp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hồ sơ thuộc diện kiểm tra trước hoàn thuế chậm nhất là 40 ngày kể từ ngày cơ quan quản lý thuế có thông báo bằng văn bản về việc chấp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hồ sơ thuộc diện hoàn thuế trước chậm nhất là 06 ngày làm việc kể từ ngày cơ quan quản lý thuế có thông báo bằng văn bản về việc chấp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hồ sơ thuộc diện kiểm tra trước hoàn thuế chậm nhất là 40 ngày kể từ ngày cơ quan quản lý thuế có thông báo bằng văn bản về việc chấp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Danh sách tờ khai hải quan đã thông quan mẫu số 01-2/HT.</w:t>
            </w:r>
          </w:p>
        </w:tc>
        <w:tc>
          <w:p/>
          <w:p>
            <w:pPr>
              <w:spacing w:after="0" w:before="0" w:lineRule="auto" w:line="276"/>
              <w:jc w:val="left"/>
            </w:pPr>
            <w:r>
              <w:rPr>
                <w:rFonts w:ascii="Times New Roman" w:hAnsi="Times New Roman" w:cs="Times New Roman" w:eastAsia="Times New Roman"/>
                <w:b w:val="false"/>
                <w:sz w:val="26"/>
              </w:rPr>
              <w:t>70.3.01-1.HT.docx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NNT chưa gửi hóa đơn điện tử đến cơ quan thuế thì nộp Bảng kê hoá đơn, chứng từ hàng hoá, dịch vụ mua vào mẫu số 01-1/HT.</w:t>
            </w:r>
          </w:p>
        </w:tc>
        <w:tc>
          <w:p/>
          <w:p>
            <w:pPr>
              <w:spacing w:after="0" w:before="0" w:lineRule="auto" w:line="276"/>
              <w:jc w:val="left"/>
            </w:pPr>
            <w:r>
              <w:rPr>
                <w:rFonts w:ascii="Times New Roman" w:hAnsi="Times New Roman" w:cs="Times New Roman" w:eastAsia="Times New Roman"/>
                <w:b w:val="false"/>
                <w:sz w:val="26"/>
              </w:rPr>
              <w:t>70.4.01-2.HT.docx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hoàn trả khoản thu NSNN theo mẫu số 01/HT tại phụ lục I ban hành kèm theo Thông tư số 80/2021/TT-BTC (đã được sửa đổi tại Thông tư số 40/2025/TT-BTC và Thông tư số 94/2025/TT-BTC);</w:t>
            </w:r>
          </w:p>
        </w:tc>
        <w:tc>
          <w:p/>
          <w:p>
            <w:pPr>
              <w:spacing w:after="0" w:before="0" w:lineRule="auto" w:line="276"/>
              <w:jc w:val="left"/>
            </w:pPr>
            <w:r>
              <w:rPr>
                <w:rFonts w:ascii="Times New Roman" w:hAnsi="Times New Roman" w:cs="Times New Roman" w:eastAsia="Times New Roman"/>
                <w:b w:val="false"/>
                <w:sz w:val="26"/>
              </w:rPr>
              <w:t>70.1.01.HT.docx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Thuế cơ sở, Thuế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Thuế tỉnh, thành phố/ Thuế cơ sở.</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hoàn thuế kiêm bù trừ thu Ngân sách nhà nước, Thông báo về việc không được hoàn thuế (Mẫu số 04/TB-HT), Quyết định hoàn thuế (Mẫu số 01/QĐHT), Phụ lục số tiền thuế, tiền chậm nộp, tiền phạt phải nộp được bù trừ  (Mẫu số 01/PL-BT)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13/2008/QH12</w:t>
            </w:r>
          </w:p>
        </w:tc>
        <w:tc>
          <w:p/>
          <w:p>
            <w:pPr>
              <w:spacing w:after="0" w:before="0" w:lineRule="auto" w:line="276"/>
              <w:jc w:val="left"/>
            </w:pPr>
            <w:r>
              <w:rPr>
                <w:rFonts w:ascii="Times New Roman" w:hAnsi="Times New Roman" w:cs="Times New Roman" w:eastAsia="Times New Roman"/>
                <w:b w:val="false"/>
                <w:sz w:val="26"/>
              </w:rPr>
              <w:t>Luật 13/2008/QH12</w:t>
            </w:r>
          </w:p>
        </w:tc>
        <w:tc>
          <w:p/>
          <w:p>
            <w:pPr>
              <w:spacing w:after="0" w:before="0" w:lineRule="auto" w:line="276"/>
              <w:jc w:val="left"/>
            </w:pPr>
            <w:r>
              <w:rPr>
                <w:rFonts w:ascii="Times New Roman" w:hAnsi="Times New Roman" w:cs="Times New Roman" w:eastAsia="Times New Roman"/>
                <w:b w:val="false"/>
                <w:sz w:val="26"/>
              </w:rPr>
              <w:t>04-06-2008</w:t>
            </w:r>
          </w:p>
        </w:tc>
        <w:tc>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80/2021/TT-BTC</w:t>
            </w:r>
          </w:p>
        </w:tc>
        <w:tc>
          <w:p/>
          <w:p>
            <w:pPr>
              <w:spacing w:after="0" w:before="0" w:lineRule="auto" w:line="276"/>
              <w:jc w:val="left"/>
            </w:pPr>
            <w:r>
              <w:rPr>
                <w:rFonts w:ascii="Times New Roman" w:hAnsi="Times New Roman" w:cs="Times New Roman" w:eastAsia="Times New Roman"/>
                <w:b w:val="false"/>
                <w:sz w:val="26"/>
              </w:rPr>
              <w:t>Thông tư 80/2021/TT-BTC</w:t>
            </w:r>
          </w:p>
        </w:tc>
        <w:tc>
          <w:p/>
          <w:p>
            <w:pPr>
              <w:spacing w:after="0" w:before="0" w:lineRule="auto" w:line="276"/>
              <w:jc w:val="left"/>
            </w:pPr>
            <w:r>
              <w:rPr>
                <w:rFonts w:ascii="Times New Roman" w:hAnsi="Times New Roman" w:cs="Times New Roman" w:eastAsia="Times New Roman"/>
                <w:b w:val="false"/>
                <w:sz w:val="26"/>
              </w:rPr>
              <w:t>29-09-2021</w:t>
            </w:r>
          </w:p>
        </w:tc>
        <w:tc>
          <w:p/>
        </w:tc>
      </w:tr>
      <w:tr>
        <w:tc>
          <w:p/>
          <w:p>
            <w:pPr>
              <w:spacing w:after="0" w:before="0" w:lineRule="auto" w:line="276"/>
              <w:jc w:val="left"/>
            </w:pPr>
            <w:r>
              <w:rPr>
                <w:rFonts w:ascii="Times New Roman" w:hAnsi="Times New Roman" w:cs="Times New Roman" w:eastAsia="Times New Roman"/>
                <w:b w:val="false"/>
                <w:sz w:val="26"/>
              </w:rPr>
              <w:t>126/2020/NĐ-CP</w:t>
            </w:r>
          </w:p>
        </w:tc>
        <w:tc>
          <w:p/>
          <w:p>
            <w:pPr>
              <w:spacing w:after="0" w:before="0" w:lineRule="auto" w:line="276"/>
              <w:jc w:val="left"/>
            </w:pPr>
            <w:r>
              <w:rPr>
                <w:rFonts w:ascii="Times New Roman" w:hAnsi="Times New Roman" w:cs="Times New Roman" w:eastAsia="Times New Roman"/>
                <w:b w:val="false"/>
                <w:sz w:val="26"/>
              </w:rPr>
              <w:t>Nghị định 126/2020/NĐ-CP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43/2023/TT-BTC</w:t>
            </w:r>
          </w:p>
        </w:tc>
        <w:tc>
          <w:p/>
          <w:p>
            <w:pPr>
              <w:spacing w:after="0" w:before="0" w:lineRule="auto" w:line="276"/>
              <w:jc w:val="left"/>
            </w:pPr>
            <w:r>
              <w:rPr>
                <w:rFonts w:ascii="Times New Roman" w:hAnsi="Times New Roman" w:cs="Times New Roman" w:eastAsia="Times New Roman"/>
                <w:b w:val="false"/>
                <w:sz w:val="26"/>
              </w:rPr>
              <w:t>43/2023/TT-BTC</w:t>
            </w:r>
          </w:p>
        </w:tc>
        <w:tc>
          <w:p/>
          <w:p>
            <w:pPr>
              <w:spacing w:after="0" w:before="0" w:lineRule="auto" w:line="276"/>
              <w:jc w:val="left"/>
            </w:pPr>
            <w:r>
              <w:rPr>
                <w:rFonts w:ascii="Times New Roman" w:hAnsi="Times New Roman" w:cs="Times New Roman" w:eastAsia="Times New Roman"/>
                <w:b w:val="false"/>
                <w:sz w:val="26"/>
              </w:rPr>
              <w:t>27-06-2023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09-07-2024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40/2025/TT-BTC</w:t>
            </w:r>
          </w:p>
        </w:tc>
        <w:tc>
          <w:p/>
          <w:p>
            <w:pPr>
              <w:spacing w:after="0" w:before="0" w:lineRule="auto" w:line="276"/>
              <w:jc w:val="left"/>
            </w:pPr>
            <w:r>
              <w:rPr>
                <w:rFonts w:ascii="Times New Roman" w:hAnsi="Times New Roman" w:cs="Times New Roman" w:eastAsia="Times New Roman"/>
                <w:b w:val="false"/>
                <w:sz w:val="26"/>
              </w:rPr>
              <w:t>Thông tư số 40/2025/TT-BTC Sửa đổi, bổ sung một số điều của các Thông tư thuộc lĩnh vực quản lý thuế để phân định thẩm quyền của chính quyền địa phương theo mô hình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NNT lựa chọn và gửi hồ sơ đến cơ quan thuế thông qua giao dịch điện tử thì phải tuân thủ đúng, đầy đủ các quy định và điều kiện thực hiện giao dịch điện tử trong lĩnh vực thuế tại Thông tư số 19/2021/TT-BTC ngày 18/3/2021 của Bộ trưởng Bộ Tài chính.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2026-04-29T16:57:52Z</dcterms:created>
  <dc:creator>Apache POI</dc:creator>
</cp:coreProperties>
</file>