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tiêu thụ đặc biệt đối với sản xuất, kinh doanh hàng hóa, dịch vụ chịu thuế TTĐB</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chuẩn bị số liệu, lập hồ sơ và gửi đến cơ quan thuế quản lý trực tiếp người nộp thuế chậm nhất là ngày thứ 20 của tháng tiếp theo tháng phát sinh nghĩa vụ thuế.
Trường hợp người nộp thuế có hoạt động kinh doanh xuất khẩu chưa nộp thuế tiêu thụ đặc biệt ở khâu sản xuất sau đó không xuất khẩu mà bán trong nước và trường hợp cơ sở kinh doanh mua xe ô tô, tàu bay, du thuyền sản xuất trong nước thuộc đối tượng không chịu thuế tiêu thụ đặc biệt nhưng sau đó chuyển mục đích sử dụng sang đối tượng chịu thuế tiêu thụ đặc biệt thì thực hiện khai thuế tiêu thụ đặc biệt theo từng lần phát sinh và gửi đến cơ quan thuế quản lý trực tiếp người nộp thuế chậm nhất 10 ngày kể từ ngày phát sinh.
++ Trường hợp NNT nộp hồ sơ qua giao dịch điện tử: NNT truy cập vào Cổng Dịch vụ công Quốc gia/Hệ thống thông tin giải quyết thủ tục hành chính để lập hồ sơ điện tử, ký điện tử và gửi đến cơ quan thuế.
++ Trường hợp NNT nộp hồ sơ trực tiếp/qua bưu chính: NNT lập hồ sơ giấy, ký và gửi đến cơ quan thuế qua Trung tâm Phục vụ hành chính công cấp tỉnh/Trung tâm Phục vụ hành chính công cấp xã hoặc qua đường bưu chính.</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qua giao dịch điện tử thì việc tiếp nhận và kiểm tra, chấp nhận hồ sơ thực hiện như sau:
+++ Tiếp nhận hồ sơ: Cổng Dịch vụ công Quốc gia/Hệ thống thông tin giải quyết thủ tục hành chính gửi thông báo cho NNT về việc tiếp nhận hồ sơ của NNT hoặc thông báo lý do không tiếp nhận hồ sơ của NNT chậm nhất 15 phút kể từ khi nhận được hồ sơ điện tử của NNT.
+++ Kiểm tra, chấp nhận hồ sơ: Cơ quan thuế kiểm tra hồ sơ và gửi thông báo cho NNT về việc chấp nhận hoặc không chấp nhận hồ sơ của NNT qua Cổng Dịch vụ công Quốc gia/Hệ thống thông tin giải quyết thủ tục hành chính chậm nhất 01 ngày làm việc kể từ ngày ghi trên thông báo tiếp nhận hồ sơ điện tử của NNT.
++ Trường hợp hồ sơ được nộp trực tiếp/qua bưu chính: cơ quan thuế thực hiện tiếp nhận, đóng dấu tiếp nhận hồ sơ của NNT (nếu hồ sơ đã đầy đủ, đúng quy định) hoặc hướng dẫn NNT hoàn thiện hồ sơ (nếu hồ sơ không đầy đủ, không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đường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qua Cổng DVC Quốc gia hoặc Ứng dụng định danh quốc gia đối với các TTHC đã toàn trình và được tích hợp, kết nối với Cổng dịch vụ công của Bộ Tài chính theo quy định về thực hiện cơ chế một cửa, một cửa liên thông trong giải quyết thủ tục hành chính/ các Hệ thống thông tin điện tử, hệ thống thông tin giải quyết TTHC của Cục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TTĐB mẫu số 01/TTĐB ban hành kèm theo Danh mục hồ sơ khai thuế tại Phụ lục I ban hành kèm theo Nghị định số 373/2025/NĐ-CP ngày 31/12/2025 của Chính phủ sửa đổi, bổ sung một số điều của Nghị định số 126/2020/NĐ-CP ngày 19 /10/2020 của Chính phủ quy định chi tiết một số điều của Luật Quản lý thuế (sau đây gọi là Nghị định số 373/2025/NĐ-CP)</w:t>
            </w:r>
          </w:p>
        </w:tc>
        <w:tc>
          <w:p/>
          <w:p>
            <w:pPr>
              <w:spacing w:after="0" w:before="0" w:lineRule="auto" w:line="276"/>
              <w:jc w:val="left"/>
            </w:pPr>
            <w:r>
              <w:rPr>
                <w:rFonts w:ascii="Times New Roman" w:hAnsi="Times New Roman" w:cs="Times New Roman" w:eastAsia="Times New Roman"/>
                <w:b w:val="false"/>
                <w:sz w:val="26"/>
              </w:rPr>
              <w:t>Mus01TTB.docx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xác định thuế tiêu thụ đặc biệt được khấu trừ (nếu có) mẫu số 01-2/TTĐB ban hành kèm theo Phụ lục II Thông tư số 80/2021/TT-BTC ngày 29/9/2021 của Bộ trưởng Bộ Tài chính</w:t>
            </w:r>
          </w:p>
        </w:tc>
        <w:tc>
          <w:p/>
          <w:p>
            <w:pPr>
              <w:spacing w:after="0" w:before="0" w:lineRule="auto" w:line="276"/>
              <w:jc w:val="left"/>
            </w:pPr>
            <w:r>
              <w:rPr>
                <w:rFonts w:ascii="Times New Roman" w:hAnsi="Times New Roman" w:cs="Times New Roman" w:eastAsia="Times New Roman"/>
                <w:b w:val="false"/>
                <w:sz w:val="26"/>
              </w:rPr>
              <w:t>Mu01-2TTB.docx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phân bổ thuế tiêu thụ đặc biệt theo địa bàn tỉnh, thành phố từ hoạt động kinh doanh sổ xố (nếu có) mẫu số 01-3/TTĐB ban hành kèm theo Phụ lục II Thông tư số 80/2021/TT-BTC ngày 29/9/2021 của Bộ trưởng Bộ Tài chính (đã được sửa đổi, bổ sung theo quy định tại điểm b khoản 7 Điều 1 Thông tư số 40/2025/TT-BTC ngày 13/6/2025 của Bộ trưởng Bộ Tài chính)</w:t>
            </w:r>
          </w:p>
        </w:tc>
        <w:tc>
          <w:p/>
          <w:p>
            <w:pPr>
              <w:spacing w:after="0" w:before="0" w:lineRule="auto" w:line="276"/>
              <w:jc w:val="left"/>
            </w:pPr>
            <w:r>
              <w:rPr>
                <w:rFonts w:ascii="Times New Roman" w:hAnsi="Times New Roman" w:cs="Times New Roman" w:eastAsia="Times New Roman"/>
                <w:b w:val="false"/>
                <w:sz w:val="26"/>
              </w:rPr>
              <w:t>Mus01-3TTB.docx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doanh nghiệp lớn - Cục Thuế,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sở/Chi cục Thuế Doanh nghiệp lớn.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373/2025/NĐ-CP</w:t>
            </w:r>
          </w:p>
        </w:tc>
        <w:tc>
          <w:p/>
          <w:p>
            <w:pPr>
              <w:spacing w:after="0" w:before="0" w:lineRule="auto" w:line="276"/>
              <w:jc w:val="left"/>
            </w:pPr>
            <w:r>
              <w:rPr>
                <w:rFonts w:ascii="Times New Roman" w:hAnsi="Times New Roman" w:cs="Times New Roman" w:eastAsia="Times New Roman"/>
                <w:b w:val="false"/>
                <w:sz w:val="26"/>
              </w:rPr>
              <w:t>Nghị định số 373/2025/NĐ-CP của Chính phủ: Sửa đổi, bổ sung một số điều của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(đã được sửa đổi, bổ sung theo Thông tư số 46/2024/TT-BTC ngày 09/7/2024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2026-05-26T22:51:14Z</dcterms:created>
  <dc:creator>Apache POI</dc:creator>
</cp:coreProperties>
</file>