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1.007041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thuế tiêu thụ đặc biệt đối với cơ sở sản xuất, pha chế xăng sinh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nộp thuế chuẩn bị số liệu, lập hồ sơ và gửi đến cơ quan thuế chậm nhất là ngày 20 của tháng sau tháng phát sinh theo quy định.
Trường hợp người nộp thuế có kinh doanh xuất khẩu chưa nộp thuế tiêu thụ đặc biệt ở khâu sản xuất sau đó không xuất khẩu mà bán trong nước; cơ sở kinh doanh mua xe ô tô, tàu bay, du thuyền sản xuất trong nước thuộc đối tượng không chịu thuế tiêu thụ đặc biệt nhưng sau đó chuyển mục đích sử dụng sang đối tượng chịu thuế tiêu thụ đặc biệt thì khai theo lần phát sinh.
Trường hợp người nộp thuế gửi hồ sơ qua giao dịch điện tử: Người nộp thuế (NNT) truy cập vào Cổng thông tin điện tử mà người nộp thuế lựa chọn (Cổng thông tin điện tử của Tổng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Tổng cục Thuế (sau đây gọi là Cổng thông tin điện tử của cơ quan nhà nước có thẩm quyền)/Cổng thông tin của tổ chức cung cấp dịch vụ T-VAN) để khai hồ sơ khai thuế và các phụ lục đính kèm theo quy định dưới dạng điện tử (nếu có), ký điện tử và gửi đến cơ quan thuế qua Cổng thông tin điện tử mà người nộp thuế lựa chọn
+ Bước 2. Cơ quan thuế tiếp nhận:
++ Trường hợp hồ sơ được nộp trực tiếp tại cơ quan thuế hoặc được gửi qua đường bưu chính: cơ quan thuế thực hiện tiếp nhận hồ sơ theo quy định.
	++ Trường hợp hồ sơ được nộp thông qua giao dịch điện tử, việc tiếp nhận, kiểm tra, chấp nhận, giải quyết hồ sơ thông qua hệ thống xử lý dữ liệu điện tử của cơ quan thuế:
+++ Tiếp nhận hồ sơ: Cổng thông tin điện tử của Tổng cục Thuế gửi thông báo tiếp nhận việc NNT đã nộp hồ sơ hoặc thông báo lý do không tiếp nhận hồ sơ cho NNT qua Cổng thông tin điện tử mà người nộp thuế lựa chọn lập và gửi hồ sơ (Cổng thông tin điện tử của Tổng cục Thuế/Cổng thông tin điện tử của cơ quan nhà nước có thẩm quyền hoặc tổ chức cung cấp dịch vụ T-VAN) chậm nhất 15 phút kể từ khi nhận được hồ sơ khai thuế điện tử của người nộp thuế.
+++ Kiểm tra, giải quyết hồ sơ: Cơ quan thuế thực hiện kiểm tra, giải quyết hồ sơ khai thuế của NNT theo quy định của Luật Quản lý thuế và các văn bản hướng dẫn thi hành:
Cơ quan thuế gửi thông báo chấp nhận/không chấp nhận hồ sơ đến Cổng thông tin điện tử mà NNT lựa chọn lập và gửi hồ sơ (Cổng thông tin điện tử của Tổng cục Thuế/Cổng thông tin điện tử của cơ quan nhà nước có thẩm quyền hoặc tổ chức cung cấp dịch vụ T-VAN) chậm nhất 01 ngày làm việc kể từ ngày ghi trên thông báo tiếp nhận nộp hồ sơ khai thuế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cơ quan thuế
Hồ sơ gửi đến cơ quan thuế không có kết quả giải quyết.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qua đường bưu chính
Hồ sơ gửi đến cơ quan thuế không có kết quả giải quyết.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bằng phương thức điện tử qua Cổng thông tin điện tử của Cục Thuế; hoặc Cổng thông tin điện tử của cơ quan nhà nước có thẩm quyền; hoặc qua tổ chức cung cấp dịch vụ T - VAN
Hồ sơ gửi đến cơ quan thuế không có kết quả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thuế TTĐB theo mẫu số 02/TTĐB ban hành kèm theo Thông tư số 80/2021/TT-BTC;</w:t>
            </w:r>
          </w:p>
        </w:tc>
        <w:tc>
          <w:p/>
          <w:p>
            <w:pPr>
              <w:spacing w:after="0" w:before="0" w:lineRule="auto" w:line="276"/>
              <w:jc w:val="left"/>
            </w:pPr>
            <w:r>
              <w:rPr>
                <w:rFonts w:ascii="Times New Roman" w:hAnsi="Times New Roman" w:cs="Times New Roman" w:eastAsia="Times New Roman"/>
                <w:b w:val="false"/>
                <w:sz w:val="26"/>
              </w:rPr>
              <w:t>02TTBtkthuTTBxngsh.doc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Thuế, Chi cục Thuế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gửi đến cơ quan thuế không có kết quả giải quyết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91/2022/NĐ-CP</w:t>
            </w:r>
          </w:p>
        </w:tc>
        <w:tc>
          <w:p/>
          <w:p>
            <w:pPr>
              <w:spacing w:after="0" w:before="0" w:lineRule="auto" w:line="276"/>
              <w:jc w:val="left"/>
            </w:pPr>
            <w:r>
              <w:rPr>
                <w:rFonts w:ascii="Times New Roman" w:hAnsi="Times New Roman" w:cs="Times New Roman" w:eastAsia="Times New Roman"/>
                <w:b w:val="false"/>
                <w:sz w:val="26"/>
              </w:rPr>
              <w:t>Nghị định số 91/2022/NĐ-CP sửa đổi bổ sung một số điều của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30-10-2022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122/2025/NĐ-CP</w:t>
            </w:r>
          </w:p>
        </w:tc>
        <w:tc>
          <w:p/>
          <w:p>
            <w:pPr>
              <w:spacing w:after="0" w:before="0" w:lineRule="auto" w:line="276"/>
              <w:jc w:val="left"/>
            </w:pPr>
            <w:r>
              <w:rPr>
                <w:rFonts w:ascii="Times New Roman" w:hAnsi="Times New Roman" w:cs="Times New Roman" w:eastAsia="Times New Roman"/>
                <w:b w:val="false"/>
                <w:sz w:val="26"/>
              </w:rPr>
              <w:t>Nghị định số 122/2025/NĐ-CP của Chính phủ: Quy định về phân quyền, phân cấp trong lĩnh vực quản lý thuế</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đầy đủ các quy định và điều kiện thực hiện giao dịch điện tử trong lĩnh vực thuế tại Thông tư số 19/2021/TT-BTC ngày 18/3/2021 của Bộ trưởng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2026-05-18T16:34:19Z</dcterms:created>
  <dc:creator>Apache POI</dc:creator>
</cp:coreProperties>
</file>