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phép tổ chức hội nghị, hội thảo quốc tế do các địa phương cấp huyện; các Sở, ban, ngành, đơn vị thuộc Ủy ban nhân dân tỉnh có sự tham dự của Lãnh đạo tỉnh; hội nghị, hội thảo có sử dụng ngân sách để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tổ chức, đơn vị đề nghị tổ chức, hội nghị hội thảo căn cứ bộ thủ tục hành chính của Sở Ngoại vụ công bố trên Cổng thông tin điện tử thành phần lập, hoàn thiện hồ sơ hoặc đến Trung tâm hành chính công Tỉnh để được cung cấp, hướng dẫn lập hồ sơ theo quy định.
Bước 2: Nộp hồ sơ trực tiếp hoặc gửi qua đường bưu điện đến Trung tâm hành chính công Tỉnh hoặc gửi qua mạng theo địa chỉ http://dichvucong.quangninh.gov.vn/. (Trước thời gian dự kiến tổ chức Hội nghị hội thảo ít nhất là 15 ngày)
Bước 3: Công chức Sở Ngoại vụ làm việc tại Trung tâm Hành chính công kiểm tra, tiếp nhận hồ sơ (nếu hồ sơ hợp lệ), viết phiếu tiếp nhận hồ sơ và hẹn ngày trả kết quả hoặc tiếp nhận hồ sơ qua mạng;
- Trong trường hợp hồ sơ không hợp lệ, công chức Sở Ngoại vụ hướng dẫn tổ chức, cá nhân hoàn thiện hồ sơ.
Bước 4: Trong thời hạn 11 ngày làm việc, kể từ ngày nhận đủ hồ sơ hợp lệ, Sở Ngoại vụ lấy ý kiến tham gia của các cơ quan liên quan (thời gian lấy ý kiến không quá 8 ngày làm việc), thẩm định trình UBND tỉnh.
Bước 5: Trong thời hạn 03 ngày làm việc UBND tỉnh  đồng ý hoặc không đồng ý cho phép tổ chức Hội nghị, hội thảo gửi về Sở Ngoại vụ. 
Bước 6: Tổ chức căn cứ vào thời gian ghi trong Giấy tiếp nhận hồ sơ đến Trung tâm Hành chính công Tỉnh nhận kết quả (01 ngày làm việc).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Văn bản của cơ quan, đơn vị tổ chức hội nghị, hội thảo quốc tế gửi Sở Ngoại vụ (theo Mẫu số 1); 2. Tài liệu về nội dung hội nghị, hội thảo: Tài liệu cụ thể sẽ được trình bày trong hội nghị, hội thảo bao gồm: Tập gấp, tờ rơi (nếu có), bài tham luận... (trường hợp tài liệu bằng tiếng nước ngoài, phải được dịch ra tiếng Việt); 3. Ý kiến của cơ quan chuyên môn liên quan đến lĩnh vực, nội dung hội thảo được tổ chức (nếu có); 4. Các giấy tờ chứng minh tính pháp lý của các cơ quan, tổ chức. + Đối với các đơn vị là doanh nghiệp: Bản sao chứng thực Giấy chứng nhận đăng ký kinh doanh và các giấy tờ khác (có liên quan đến nội dung hội nghị, hội thảo); + Đối với các tổ chức phi chính phủ nước ngoài: Bản sao Giấy phép lập Văn phòng đại diện/Văn phòng dự án/Giấy phép hoạt động của tổ chức tại Việt Nam và Quyết định của UBND tỉnh, thành phố hoặc Bộ, ngành liên quan phê duyệt chương trình/dự án; + Đối với các cơ quan, đơn vị trực thuộc các Sở, ban, ngành thuộc tỉnh, Ủy ban nhân dân các huyện, thị xã, thành phố: Văn bản của cơ quan chủ quản quản lý. 5. Bản sao hộ chiếu, thị thực của người nước ngoài tham gia hội nghị, hội thảo; 6. Thành phần đại biểu tham dự hội nghị, hội thảo.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của tổ chức đề nghị xin phép tổ chức hội nghị hội thảo quốc tế</w:t>
            </w:r>
          </w:p>
        </w:tc>
        <w:tc>
          <w:p/>
          <w:p>
            <w:pPr>
              <w:spacing w:after="0" w:before="0" w:lineRule="auto" w:line="276"/>
              <w:jc w:val="left"/>
            </w:pPr>
            <w:r>
              <w:rPr>
                <w:rFonts w:ascii="Times New Roman" w:hAnsi="Times New Roman" w:cs="Times New Roman" w:eastAsia="Times New Roman"/>
                <w:b w:val="false"/>
                <w:sz w:val="26"/>
              </w:rPr>
              <w:t>Văn bản của tổ chức đề nghị xin phép tổ chức hội nghị hội thảo quốc tế.docx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Ngoại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 của UBND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76/2010/QĐ-TTg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30-11-2010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xml:space="preserve">1610/2015/QĐ-UBND </w:t>
            </w:r>
          </w:p>
        </w:tc>
        <w:tc>
          <w:p/>
          <w:p>
            <w:pPr>
              <w:spacing w:after="0" w:before="0" w:lineRule="auto" w:line="276"/>
              <w:jc w:val="left"/>
            </w:pPr>
            <w:r>
              <w:rPr>
                <w:rFonts w:ascii="Times New Roman" w:hAnsi="Times New Roman" w:cs="Times New Roman" w:eastAsia="Times New Roman"/>
                <w:b w:val="false"/>
                <w:sz w:val="26"/>
              </w:rPr>
              <w:t>quyết định</w:t>
            </w:r>
          </w:p>
        </w:tc>
        <w:tc>
          <w:p/>
          <w:p>
            <w:pPr>
              <w:spacing w:after="0" w:before="0" w:lineRule="auto" w:line="276"/>
              <w:jc w:val="left"/>
            </w:pPr>
            <w:r>
              <w:rPr>
                <w:rFonts w:ascii="Times New Roman" w:hAnsi="Times New Roman" w:cs="Times New Roman" w:eastAsia="Times New Roman"/>
                <w:b w:val="false"/>
                <w:sz w:val="26"/>
              </w:rPr>
              <w:t>09-06-2015</w:t>
            </w:r>
          </w:p>
        </w:tc>
        <w:tc>
          <w:p/>
          <w:p>
            <w:pPr>
              <w:spacing w:after="0" w:before="0" w:lineRule="auto" w:line="276"/>
              <w:jc w:val="left"/>
            </w:pPr>
            <w:r>
              <w:rPr>
                <w:rFonts w:ascii="Times New Roman" w:hAnsi="Times New Roman" w:cs="Times New Roman" w:eastAsia="Times New Roman"/>
                <w:b w:val="false"/>
                <w:sz w:val="26"/>
              </w:rPr>
              <w:t>Ủy ban Nhân dân tỉnh và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2026-05-18T12:30:26Z</dcterms:created>
  <dc:creator>Apache POI</dc:creator>
</cp:coreProperties>
</file>