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tượng còn sống)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tượng làm bản khai và nộp các giấy tờ theo quy định cho Trưởng thôn nơi đăng ký hộ khẩu thường trú;</w:t>
      </w:r>
    </w:p>
    <w:p>
      <w:pPr>
        <w:spacing w:after="0" w:before="0" w:lineRule="auto" w:line="276"/>
        <w:jc w:val="both"/>
      </w:pPr>
      <w:r>
        <w:rPr>
          <w:rFonts w:ascii="Times New Roman" w:hAnsi="Times New Roman" w:cs="Times New Roman" w:eastAsia="Times New Roman"/>
          <w:b w:val="false"/>
          <w:sz w:val="26"/>
        </w:rPr>
        <w:t>-	Hội đồng chính sách cấp xã tiếp nhận hồ sơ do các Trưởng thôn báo cáo; phân loại hồ sơ, họp xét duyệt, tổng hợp, hoàn thiện hồ sơ báo cáo Uỷ ban nhân dân huyện (qua Phòng Lao động - Thương binh và Xã hội);</w:t>
      </w:r>
    </w:p>
    <w:p>
      <w:pPr>
        <w:spacing w:after="0" w:before="0" w:lineRule="auto" w:line="276"/>
        <w:jc w:val="both"/>
      </w:pPr>
      <w:r>
        <w:rPr>
          <w:rFonts w:ascii="Times New Roman" w:hAnsi="Times New Roman" w:cs="Times New Roman" w:eastAsia="Times New Roman"/>
          <w:b w:val="false"/>
          <w:sz w:val="26"/>
        </w:rPr>
        <w:t>-	Phòng Lao động - Thương binh và Xã hội huyện tiếp nhận hồ sơ đối tượng do UBND xã báo cáo; rà soát, đối chiếu, tổng hợp, báo cáo Sở Lao động - Thương binh và Xã hội tỉnh;</w:t>
      </w:r>
    </w:p>
    <w:p>
      <w:pPr>
        <w:spacing w:after="0" w:before="0" w:lineRule="auto" w:line="276"/>
        <w:jc w:val="both"/>
      </w:pPr>
      <w:r>
        <w:rPr>
          <w:rFonts w:ascii="Times New Roman" w:hAnsi="Times New Roman" w:cs="Times New Roman" w:eastAsia="Times New Roman"/>
          <w:b w:val="false"/>
          <w:sz w:val="26"/>
        </w:rPr>
        <w:t>-	Sở Lao động - Thương binh và Xã hội tỉnh tiếp nhận hồ sơ đối tượng do Phòng Lao động - Thương binh và Xã hội huyện báo cáo; tổ chức xét duyệt, tổng hợp, báo cáo UBND tỉnh;</w:t>
      </w:r>
    </w:p>
    <w:p>
      <w:pPr>
        <w:spacing w:after="0" w:before="0" w:lineRule="auto" w:line="276"/>
        <w:jc w:val="both"/>
      </w:pPr>
      <w:r>
        <w:rPr>
          <w:rFonts w:ascii="Times New Roman" w:hAnsi="Times New Roman" w:cs="Times New Roman" w:eastAsia="Times New Roman"/>
          <w:b w:val="false"/>
          <w:sz w:val="26"/>
        </w:rPr>
        <w:t>-	Chủ tịch UBND tỉnh ra quyết định hưởng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Hội đồng chính sách xã (phường): Không quá 05 ngày làm việc;
- Phòng Lao động - Thương binh và Xã hội huyện: Không quá 10 ngày làm việc;
- Sở Lao động - Thương binh và Xã hội tỉnh (bao gồm cả thời gian Chủ tịch UBND tỉnh ra quyết định): Không quá 10 ngày làm việc;
Tổng thời gian giải quyết ở các cấp là 25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Giấy xác nhận quá trình công tác của đơn vị cũ trước khi thôi việc hoặc hết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tuyển dụng, thôi việc hoặc hết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cán bộ công chức, viên chức;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tham gia Thanh niên xung phong; phiếu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Hội đồng chính sách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chính sách xã (qua Trưởng thôn) nơi đăng ký hộ khẩu thường trú của đối tượng.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Phòng Lao động - Thương binh và Xã hội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đối tượng tham gia chiến tranh bảo vệ Tổ quốc và làm nhiệm vụ quốc tế Quyết định số 62/2011/QĐ-TTg ngày 09/11/2011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2026-05-23T17:19:51Z</dcterms:created>
  <dc:creator>Apache POI</dc:creator>
</cp:coreProperties>
</file>