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Danh hiệu Tổ dân phố kiểu mẫu.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Thời gian thực hiện: Trong giờ hành chính các ngày từ thứ 2 đến thứ 6 hàng tuần (trừ ngày Lễ, Tết theo quy định).</w:t>
      </w:r>
    </w:p>
    <w:p>
      <w:pPr>
        <w:spacing w:after="0" w:before="0" w:lineRule="auto" w:line="276"/>
        <w:jc w:val="both"/>
      </w:pPr>
      <w:r>
        <w:rPr>
          <w:rFonts w:ascii="Times New Roman" w:hAnsi="Times New Roman" w:cs="Times New Roman" w:eastAsia="Times New Roman"/>
          <w:b w:val="false"/>
          <w:sz w:val="26"/>
        </w:rPr>
        <w:t>1.2. Địa điểm thực hiện: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1.3. Trình tự:
- Tổ trưởng tổ dân phố tổ chức họp khu dân cư xét danh hiệu và đề nghị Chủ tịch Ủy ban nhân dân xã, phường, thị trấn xét. Cuộc họp được tiến hành khi có 60% trở lên số người được triệu tập tham dự.
- Sau khi nhận đủ hồ sơ theo quy định, Hội đồng Thi đua - Khen thưởng xã, phường, thị trấn xét đề nghị Chủ tịch Ủy ban nhân dân cùng cấp trình cấp có thẩm quyền. 
- Căn cứ vào hồ sơ đề nghị của Chủ tịch Ủy ban nhân dân xã, phường, thị trấn, phòng Nội vụ chủ trì, phối hợp với các đơn vị có liên quan tiến hành thẩm định (có biên bản) trình Hội đồng Thi đua - Khen thưởng huyện, thị xã, thành phố họp xét, đề nghị Chủ tịch Ủy ban nhân dân cùng cấp xem xét, quyết định. 
	- Việc bình xét, công nhận danh hiệu “Tổ dân phố kiểu mẫu” hoàn thành trong tháng 12 hàng năm.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bình xét ở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của tổ dân phố.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https://dichvucong.gov.vn (một phần).Trung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UBND huyện, thị xã, thành phố tặng thưởng danh hiệu “Tổ dân phố kiểu mẫu”.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	</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Thi đua, khen thưởng	</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15/2003/QH11 </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09/2019/QĐ-UBND</w:t>
            </w:r>
          </w:p>
        </w:tc>
        <w:tc>
          <w:p/>
          <w:p>
            <w:pPr>
              <w:spacing w:after="0" w:before="0" w:lineRule="auto" w:line="276"/>
              <w:jc w:val="left"/>
            </w:pPr>
            <w:r>
              <w:rPr>
                <w:rFonts w:ascii="Times New Roman" w:hAnsi="Times New Roman" w:cs="Times New Roman" w:eastAsia="Times New Roman"/>
                <w:b w:val="false"/>
                <w:sz w:val="26"/>
              </w:rPr>
              <w:t>quy định trình tự, thủ tục xét công nhận các danh hiệu kiểu mẫu</w:t>
            </w:r>
          </w:p>
        </w:tc>
        <w:tc>
          <w:p/>
          <w:p>
            <w:pPr>
              <w:spacing w:after="0" w:before="0" w:lineRule="auto" w:line="276"/>
              <w:jc w:val="left"/>
            </w:pPr>
            <w:r>
              <w:rPr>
                <w:rFonts w:ascii="Times New Roman" w:hAnsi="Times New Roman" w:cs="Times New Roman" w:eastAsia="Times New Roman"/>
                <w:b w:val="false"/>
                <w:sz w:val="26"/>
              </w:rPr>
              <w:t>09-04-2019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công nhận danh hiệu “Tổ dân phố văn hóa” và “Cộng đồng học tập” cấp thôn, bản, tổ dân phố. 
- Đến thời điểm xét công nhận không còn hộ nghèo (trừ các trường hợp thuộc diện bảo trợ xã hội theo quy định, hoặc do tai nạn rủi ro bất khả kháng, hoặc do bệnh hiểm nghèo); tỷ lệ người dân có việc làm trên tổng số lao động trong độ tuổi có khả năng tham gia lao động đạt từ 95% trở lên.
- Tỉ lệ người dân tham gia bảo hiểm y tế đạt từ 95% trở lên. 
- Cảnh quan môi trường sáng, xanh, sạch, đẹp; đảm bảo quy định pháp luật về xây dựng, quy hoạch, kiến trúc đô thị; thực hiện tốt công tác phòng, chống cháy, nổ; 100% hộ được sử dụng nước hợp vệ sinh, trong đó nước sạch đạt 98% trở lên theo chuẩn mới; 100%  hộ có nhà tiêu, nhà tắm, bể chứa nước sinh hoạt hợp vệ sinh.
 - Trong năm xét công nhận, Chi bộ được đánh giá, xếp loại hoàn thành xuất sắc nhiệm vụ; Ban công tác Mặt trận, các chi hội đoàn thể của tổ dân phố xếp loại xuất sắc.
- Trong 3 năm liên tục đến năm xét công nhận, an ninh trật tự, an toàn xã hội ổn định, không để xảy ra trọng án, không có tội phạm, tệ nạn xã hội, vụ việc nổi cộm, phức tạp về an ninh trật tự; không có người phạm tội bị khởi tố, truy tố, xét xử; không có khiếu kiện đông người trái pháp luật.
- Đến thời điểm xét công nhận, có 70% trở lên số gia đình đạt danh hiệu “Gia đình kiểu mẫu”.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2026-05-11T20:39:35Z</dcterms:created>
  <dc:creator>Apache POI</dc:creator>
</cp:coreProperties>
</file>