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1.007067</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3254/QĐ-UBND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công nhận Danh hiệu Gia đình kiểu mẫu.</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Thi đua - khen thưởng</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1.1. Thời gian thực hiện: Trong giờ hành chính các ngày từ thứ 2 đến thứ 6 hàng tuần (trừ ngày Lễ, Tết theo quy định).</w:t>
      </w:r>
    </w:p>
    <w:p>
      <w:pPr>
        <w:spacing w:after="0" w:before="0" w:lineRule="auto" w:line="276"/>
        <w:jc w:val="both"/>
      </w:pPr>
      <w:r>
        <w:rPr>
          <w:rFonts w:ascii="Times New Roman" w:hAnsi="Times New Roman" w:cs="Times New Roman" w:eastAsia="Times New Roman"/>
          <w:b w:val="false"/>
          <w:sz w:val="26"/>
        </w:rPr>
        <w:t>1.2. Địa điểm thực hiện: Bộ phận tiếp nhận và trả kết quả của UBND cấp xã.</w:t>
      </w:r>
    </w:p>
    <w:p>
      <w:pPr>
        <w:spacing w:after="0" w:before="0" w:lineRule="auto" w:line="276"/>
        <w:jc w:val="both"/>
      </w:pPr>
      <w:r>
        <w:rPr>
          <w:rFonts w:ascii="Times New Roman" w:hAnsi="Times New Roman" w:cs="Times New Roman" w:eastAsia="Times New Roman"/>
          <w:b w:val="false"/>
          <w:sz w:val="26"/>
        </w:rPr>
        <w:t xml:space="preserve">1.3. Trình tự thực hiện:
- Trưởng thôn, bản, Tổ trưởng tổ dân phố tổ chức họp khu dân cư bình xét danh hiệu “Gia đình kiểu mẫu” và lập hồ sơ đề nghị Chủ tịch Ủy ban nhân dân xã, phường, thị trấn xem xét, quyết định.
- Cuộc họp bình xét ở khu dân cư được tiến hành khi đạt 60% trở lên số người được triệu tập tham dự. 
- Việc bình xét, công nhận danh hiệu “Gia đình kiểu mẫu” hoàn thành trong tháng 12 hàng năm. </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Việc bình xét danh hiệu hoàn thành vào tháng 12 hàng năm.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Việc bình xét danh hiệu hoàn thành vào tháng 12 hàng năm.</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Việc bình xét danh hiệu hoàn thành vào tháng 12 hàng năm.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Địa chỉ trực tuyến: https://dichvucong.gov.vn (một phần).</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Việc bình xét danh hiệu hoàn thành vào tháng 12 hàng năm.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Việc bình xét danh hiệu hoàn thành vào tháng 12 hàng năm.</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Biên bản họp bình xét ở khu dân cư (Phải đảm bảo từ 70% trở lên số người tham gia dự họp nhất trí đề nghị);</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Báo cáo thành tích của hộ gia đình.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Chủ tịch Ủy ban nhân dân xã</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Bộ phận tiếp nhận và trả kết quả của UBND cấp xã; Địa chỉ trực tuyến: https://dichvucong.gov.vn (một phần).Trung tâm Phục vụ hành chính công tỉnh (Số 28, Đại lộ Lê Lợi, phường Hạc Thành, tỉnh Thanh Hóa)</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công nhận danh hiệu “Gia đình kiểu mẫu” của Chủ tịch UBND cấp xã.</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47/2005/QH11</w:t>
            </w:r>
          </w:p>
        </w:tc>
        <w:tc>
          <w:p/>
          <w:p>
            <w:pPr>
              <w:spacing w:after="0" w:before="0" w:lineRule="auto" w:line="276"/>
              <w:jc w:val="left"/>
            </w:pPr>
            <w:r>
              <w:rPr>
                <w:rFonts w:ascii="Times New Roman" w:hAnsi="Times New Roman" w:cs="Times New Roman" w:eastAsia="Times New Roman"/>
                <w:b w:val="false"/>
                <w:sz w:val="26"/>
              </w:rPr>
              <w:t>Luật 47/2005/QH11 - Sửa đổi, bổ sung một số điều của Luật Thi đua, Khen thưởng</w:t>
            </w:r>
          </w:p>
        </w:tc>
        <w:tc>
          <w:p/>
          <w:p>
            <w:pPr>
              <w:spacing w:after="0" w:before="0" w:lineRule="auto" w:line="276"/>
              <w:jc w:val="left"/>
            </w:pPr>
            <w:r>
              <w:rPr>
                <w:rFonts w:ascii="Times New Roman" w:hAnsi="Times New Roman" w:cs="Times New Roman" w:eastAsia="Times New Roman"/>
                <w:b w:val="false"/>
                <w:sz w:val="26"/>
              </w:rPr>
              <w:t>14-06-2005</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91/2017/NĐ-CP	</w:t>
            </w:r>
          </w:p>
        </w:tc>
        <w:tc>
          <w:p/>
          <w:p>
            <w:pPr>
              <w:spacing w:after="0" w:before="0" w:lineRule="auto" w:line="276"/>
              <w:jc w:val="left"/>
            </w:pPr>
            <w:r>
              <w:rPr>
                <w:rFonts w:ascii="Times New Roman" w:hAnsi="Times New Roman" w:cs="Times New Roman" w:eastAsia="Times New Roman"/>
                <w:b w:val="false"/>
                <w:sz w:val="26"/>
              </w:rPr>
              <w:t>Quy định chi tiết thi hành một số điều của Luật Thi đua, khen thưởng	</w:t>
            </w:r>
          </w:p>
        </w:tc>
        <w:tc>
          <w:p/>
          <w:p>
            <w:pPr>
              <w:spacing w:after="0" w:before="0" w:lineRule="auto" w:line="276"/>
              <w:jc w:val="left"/>
            </w:pPr>
            <w:r>
              <w:rPr>
                <w:rFonts w:ascii="Times New Roman" w:hAnsi="Times New Roman" w:cs="Times New Roman" w:eastAsia="Times New Roman"/>
                <w:b w:val="false"/>
                <w:sz w:val="26"/>
              </w:rPr>
              <w:t>31-07-2017</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39/2013/QH13</w:t>
            </w:r>
          </w:p>
        </w:tc>
        <w:tc>
          <w:p/>
          <w:p>
            <w:pPr>
              <w:spacing w:after="0" w:before="0" w:lineRule="auto" w:line="276"/>
              <w:jc w:val="left"/>
            </w:pPr>
            <w:r>
              <w:rPr>
                <w:rFonts w:ascii="Times New Roman" w:hAnsi="Times New Roman" w:cs="Times New Roman" w:eastAsia="Times New Roman"/>
                <w:b w:val="false"/>
                <w:sz w:val="26"/>
              </w:rPr>
              <w:t>Luật sửa đổi, bổ sung một số điều của Luật Thi đua, Khen thưởng</w:t>
            </w:r>
          </w:p>
        </w:tc>
        <w:tc>
          <w:p/>
          <w:p>
            <w:pPr>
              <w:spacing w:after="0" w:before="0" w:lineRule="auto" w:line="276"/>
              <w:jc w:val="left"/>
            </w:pPr>
            <w:r>
              <w:rPr>
                <w:rFonts w:ascii="Times New Roman" w:hAnsi="Times New Roman" w:cs="Times New Roman" w:eastAsia="Times New Roman"/>
                <w:b w:val="false"/>
                <w:sz w:val="26"/>
              </w:rPr>
              <w:t>16-11-2013</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15/2003/QH11</w:t>
            </w:r>
          </w:p>
        </w:tc>
        <w:tc>
          <w:p/>
          <w:p>
            <w:pPr>
              <w:spacing w:after="0" w:before="0" w:lineRule="auto" w:line="276"/>
              <w:jc w:val="left"/>
            </w:pPr>
            <w:r>
              <w:rPr>
                <w:rFonts w:ascii="Times New Roman" w:hAnsi="Times New Roman" w:cs="Times New Roman" w:eastAsia="Times New Roman"/>
                <w:b w:val="false"/>
                <w:sz w:val="26"/>
              </w:rPr>
              <w:t>Luật Thi đua, Khen thưởng</w:t>
            </w:r>
          </w:p>
        </w:tc>
        <w:tc>
          <w:p/>
          <w:p>
            <w:pPr>
              <w:spacing w:after="0" w:before="0" w:lineRule="auto" w:line="276"/>
              <w:jc w:val="left"/>
            </w:pPr>
            <w:r>
              <w:rPr>
                <w:rFonts w:ascii="Times New Roman" w:hAnsi="Times New Roman" w:cs="Times New Roman" w:eastAsia="Times New Roman"/>
                <w:b w:val="false"/>
                <w:sz w:val="26"/>
              </w:rPr>
              <w:t>26-11-2003</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09/2019/QĐ-UBND</w:t>
            </w:r>
          </w:p>
        </w:tc>
        <w:tc>
          <w:p/>
          <w:p>
            <w:pPr>
              <w:spacing w:after="0" w:before="0" w:lineRule="auto" w:line="276"/>
              <w:jc w:val="left"/>
            </w:pPr>
            <w:r>
              <w:rPr>
                <w:rFonts w:ascii="Times New Roman" w:hAnsi="Times New Roman" w:cs="Times New Roman" w:eastAsia="Times New Roman"/>
                <w:b w:val="false"/>
                <w:sz w:val="26"/>
              </w:rPr>
              <w:t>quy định trình tự, thủ tục xét công nhận các danh hiệu kiểu mẫu</w:t>
            </w:r>
          </w:p>
        </w:tc>
        <w:tc>
          <w:p/>
          <w:p>
            <w:pPr>
              <w:spacing w:after="0" w:before="0" w:lineRule="auto" w:line="276"/>
              <w:jc w:val="left"/>
            </w:pPr>
            <w:r>
              <w:rPr>
                <w:rFonts w:ascii="Times New Roman" w:hAnsi="Times New Roman" w:cs="Times New Roman" w:eastAsia="Times New Roman"/>
                <w:b w:val="false"/>
                <w:sz w:val="26"/>
              </w:rPr>
              <w:t>09-04-2019</w:t>
            </w:r>
          </w:p>
        </w:tc>
        <w:tc>
          <w:p/>
          <w:p>
            <w:pPr>
              <w:spacing w:after="0" w:before="0" w:lineRule="auto" w:line="276"/>
              <w:jc w:val="left"/>
            </w:pPr>
            <w:r>
              <w:rPr>
                <w:rFonts w:ascii="Times New Roman" w:hAnsi="Times New Roman" w:cs="Times New Roman" w:eastAsia="Times New Roman"/>
                <w:b w:val="false"/>
                <w:sz w:val="26"/>
              </w:rPr>
              <w:t>UBND tỉnh Thanh Hóa</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Đã được công nhận danh hiệu “Gia đình văn hoá”.
-  Có 70% trở lên thành viên gia đình 18 tuổi trở lên sinh sống, học tập và làm việc trên địa bàn tỉnh đạt danh hiệu “Công dân kiểu mẫu”.</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2026-05-15T07:14:44Z</dcterms:created>
  <dc:creator>Apache POI</dc:creator>
</cp:coreProperties>
</file>