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Danh hiệu Công dân kiểu mẫu thuộc phạm vi quản lý của UBND cấp xã, tỉnh Thanh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Thời gian thực hiện: Trong giờ hành chính các ngày từ thứ 2 đến thứ 6 hàng tuần (trừ ngày Lễ, Tết theo quy định).</w:t>
      </w:r>
    </w:p>
    <w:p>
      <w:pPr>
        <w:spacing w:after="0" w:before="0" w:lineRule="auto" w:line="276"/>
        <w:jc w:val="both"/>
      </w:pPr>
      <w:r>
        <w:rPr>
          <w:rFonts w:ascii="Times New Roman" w:hAnsi="Times New Roman" w:cs="Times New Roman" w:eastAsia="Times New Roman"/>
          <w:b w:val="false"/>
          <w:sz w:val="26"/>
        </w:rPr>
        <w:t>1.2. Địa điểm thực hiện: Bộ phận tiếp nhận và trả kết quả của UBND cấp xã.</w:t>
      </w:r>
    </w:p>
    <w:p>
      <w:pPr>
        <w:spacing w:after="0" w:before="0" w:lineRule="auto" w:line="276"/>
        <w:jc w:val="both"/>
      </w:pPr>
      <w:r>
        <w:rPr>
          <w:rFonts w:ascii="Times New Roman" w:hAnsi="Times New Roman" w:cs="Times New Roman" w:eastAsia="Times New Roman"/>
          <w:b w:val="false"/>
          <w:sz w:val="26"/>
        </w:rPr>
        <w:t xml:space="preserve">1.3. Trình tự thực hiện:
Trưởng thôn, bản, Tổ trưởng tổ dân phố tổ chức họp, bình xét danh hiệu và lập hồ sơ đề nghị cấp có thẩm quyền xét công nhận danh hiệu “Công dân kiểu mẫu” cho các công dân; cụ thể như sau: 
- Các thôn, bản, tổ dân phố họp khu dân cư bình xét và lập hồ sơ đề nghị Chủ tịch Ủy ban nhân dân xã, phường, thị trấn xem xét, quyết định.
- Cuộc họp bình xét ở khu dân cư được tiến hành khi đạt 60% trở lên số người được triệu tập tham dự.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Việc bình xét danh hiệu hoàn thành vào tháng 12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bình xét danh hiệu hoàn thành vào tháng 12 hàng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Việc bình xét danh hiệu hoàn thành vào tháng 12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Việc bình xét danh hiệu hoàn thành vào tháng 12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bình xét danh hiệu hoàn thành vào tháng 12 hàng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đơn vị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bình xét ở khu dân cư kèm theo danh sách (Phải đảm bảo từ 70% trở lên số người tham gia dự họp nhất trí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thành tích của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Địa chỉ trực tuyến: https://dichvucong.gov.vn (một phần).Trung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UBND cấp xã tặng thưởng danh hiệu “Công dân kiểu mẫu”.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	</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Thi đua, khen thưởng	</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09/2019/QĐ-UBND</w:t>
            </w:r>
          </w:p>
        </w:tc>
        <w:tc>
          <w:p/>
          <w:p>
            <w:pPr>
              <w:spacing w:after="0" w:before="0" w:lineRule="auto" w:line="276"/>
              <w:jc w:val="left"/>
            </w:pPr>
            <w:r>
              <w:rPr>
                <w:rFonts w:ascii="Times New Roman" w:hAnsi="Times New Roman" w:cs="Times New Roman" w:eastAsia="Times New Roman"/>
                <w:b w:val="false"/>
                <w:sz w:val="26"/>
              </w:rPr>
              <w:t>quy định trình tự, thủ tục xét công nhận các danh hiệu kiểu mẫu</w:t>
            </w:r>
          </w:p>
        </w:tc>
        <w:tc>
          <w:p/>
          <w:p>
            <w:pPr>
              <w:spacing w:after="0" w:before="0" w:lineRule="auto" w:line="276"/>
              <w:jc w:val="left"/>
            </w:pPr>
            <w:r>
              <w:rPr>
                <w:rFonts w:ascii="Times New Roman" w:hAnsi="Times New Roman" w:cs="Times New Roman" w:eastAsia="Times New Roman"/>
                <w:b w:val="false"/>
                <w:sz w:val="26"/>
              </w:rPr>
              <w:t>09-04-2019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Gương mẫu chấp hành tốt chủ trương, đường lối, chính sách của Đảng, pháp luật của Nhà nước; các nội quy, quy định của cơ quan nơi công tác và địa phương nơi cư trú.
- Yêu Tổ quốc, yêu quê hương, sống có lý tưởng cách mạng; có lối sống văn hóa lành mạnh, văn minh, trung thực, nhân nghĩa, đoàn kết; năng động, sáng tạo, có tri thức; thực hiện tốt các chuẩn mực đạo đức công vụ, chuẩn mực đạo đức nghề nghiệp; có tinh thần hợp tác quốc tế.
- Cần, kiệm, liêm, chính, chí công, vô tư; có ý thức tập thể, có tinh thần tự nguyện vì lợi ích chung; có ý chí vươn lên trong học tập, công tác, sản xuất, kinh doanh và làm giàu chính đáng.
- Cán bộ, công chức, viên chức, người lao động làm việc tại cơ quan, đơn vị xếp loại hoàn thành xuất sắc nhiệm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2026-05-20T08:02:26Z</dcterms:created>
  <dc:creator>Apache POI</dc:creator>
</cp:coreProperties>
</file>