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đăng ký khai tử, xóa 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yêu cầu đăng ký khai tử, xóa đăng ký thường trú nộp hồ sơ trực tiếp tại Bộ phận tiếp nhận và trả kết quả của Ủy ban nhân dân phường, xã, thị trấn từ thứ hai đến thứ sáu (buổi sáng từ 07 giờ 30 phút đến 11 giờ 30 phút, buổi chiều từ 13 giờ 00 phút đến 17 giờ 00 phút) và sáng thứ bảy (từ 07 giờ 30 phút đến 11 giờ 30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tiếp nhận hồ sơ, kiểm tra tính hợp lệ và đầy đủ của các giấy tờ có trong hồ sơ:
+ Trường hợp hồ sơ đầy đủ, hợp lệ, công chức tiếp nhận hồ sơ, viết giấy biên nhận;
+ Trường hợp hồ sơ chưa đầy đủ, chưa hợp lệ thì hướng dẫn người nộp hồ sơ bổ sung, hoàn thiện hồ sơ theo quy định. Trường hợp không thể bổ sung, hoàn thiện hồ sơ ngay thì phải lập văn bản hướng dẫn, trong đó nêu rõ những loại giấy tờ, nội dung cần bổ sung, hoàn thiện, ký và ghi rõ họ, tên người tiếp nhận hồ sơ;
+ Trong trường hợp hồ sơ không được bổ sung, hoàn thiện theo hướng dẫn thì người tiếp nhận hồ sơ từ chối tiếp nhận hồ sơ. Việc từ chối tiếp nhận hồ sơ phải được thể hiện bằng văn bản, trong đó ghi rõ lý do từ chối, người tiếp nhận ký và ghi rõ họ tên
</w:t>
      </w:r>
    </w:p>
    <w:p>
      <w:pPr>
        <w:spacing w:after="0" w:before="0" w:lineRule="auto" w:line="276"/>
        <w:jc w:val="both"/>
      </w:pPr>
      <w:r>
        <w:rPr>
          <w:rFonts w:ascii="Times New Roman" w:hAnsi="Times New Roman" w:cs="Times New Roman" w:eastAsia="Times New Roman"/>
          <w:b w:val="false"/>
          <w:sz w:val="26"/>
        </w:rPr>
        <w:t>Bước 3: 
Ngay sau khi tiếp nhận hồ sơ, Ủy ban nhân dân phường, xã, thị trấn thực hiện đăng ký khai tử ngay trong ngày; trường hợp hồ sơ tiếp nhận sau 15 giờ mà không giải quyết được ngay trong ngày thì tiến hành giải quyết trong ngày làm việc tiếp theo;
Trong thời hạn 02 ngày làm việc kể từ ngày cấp trích lục khai tử, Ủy ban nhân dân phường, xã, thị trấn có trách nhiệm lập hồ sơ đề nghị xóa đăng ký thường trú đối với người đã chết gồm Phiếu báo thay đổi nhân khẩu, hộ khẩu, Sổ hộ khẩu bản chính, bản sao trích lục khai tử và chuyển hồ sơ cho Công an quận, huyện;
Trong thời hạn 03 ngày làm việc, kể từ ngày nhận được hồ sơ xóa đăng ký thường trú do Ủy ban nhân dân phường, xã, thị trấn chuyển đến, Công an quận, huyện kiểm tra tính hợp pháp, đầy đủ của hồ sơ. Trường hợp hồ sơ đầy đủ, đúng quy định, Công an quận, huyện thực hiện xóa đăng ký thường trú cho người chết và trả kết quả cho Ủy ban nhân dân phường, xã, thị trấn để trả cho người dân. Người được giao chuyển hồ sơ của Ủy ban nhân dân cấp xã có trách nhiệm kiểm tra các thông tin được ghi trong sổ hộ khẩu và ký nhận vào sổ theo dõi giải quyết hộ khẩu;
Trường hợp hồ sơ chưa đúng quy định thì ngay sau khi tiếp nhận hồ sơ, Công an quận, huyện phải thông báo cho Ủy ban nhân dân phường, xã, thị trấn biết để hoàn thiện hồ sơ và gửi lại cho Công an quận, huyện để xóa đăng ký thường trú cho người chết</w:t>
      </w:r>
    </w:p>
    <w:p>
      <w:pPr>
        <w:spacing w:after="0" w:before="0" w:lineRule="auto" w:line="276"/>
        <w:jc w:val="both"/>
      </w:pPr>
      <w:r>
        <w:rPr>
          <w:rFonts w:ascii="Times New Roman" w:hAnsi="Times New Roman" w:cs="Times New Roman" w:eastAsia="Times New Roman"/>
          <w:b w:val="false"/>
          <w:sz w:val="26"/>
        </w:rPr>
        <w:t>Bước 4: Trong thời hạn 06 ngày làm việc, kể từ ngày nhận đủ hồ sơ hợp lệ, người nộp hồ sơ đến Bộ phận tiếp nhận và trả kết quả thuộc Ủy ban nhân dân phường, xã, thị trấn nơi đã nộp hồ sơ để nhận Trích lục khai tử (bản chính) và Hộ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khai tử (theo mẫu)</w:t>
            </w:r>
          </w:p>
        </w:tc>
        <w:tc>
          <w:p/>
          <w:p>
            <w:pPr>
              <w:spacing w:after="0" w:before="0" w:lineRule="auto" w:line="276"/>
              <w:jc w:val="left"/>
            </w:pPr>
            <w:r>
              <w:rPr>
                <w:rFonts w:ascii="Times New Roman" w:hAnsi="Times New Roman" w:cs="Times New Roman" w:eastAsia="Times New Roman"/>
                <w:b w:val="false"/>
                <w:sz w:val="26"/>
              </w:rPr>
              <w:t>dang ky khai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báo tử hoặc giấy tờ thay cho Giấy báo tử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theo quy định pháp luật trong trường hợp ủy quyền thực hiện việc đăng ký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w:t>
            </w:r>
          </w:p>
        </w:tc>
        <w:tc>
          <w:p/>
          <w:p>
            <w:pPr>
              <w:spacing w:after="0" w:before="0" w:lineRule="auto" w:line="276"/>
              <w:jc w:val="left"/>
            </w:pPr>
            <w:r>
              <w:rPr>
                <w:rFonts w:ascii="Times New Roman" w:hAnsi="Times New Roman" w:cs="Times New Roman" w:eastAsia="Times New Roman"/>
                <w:b w:val="false"/>
                <w:sz w:val="26"/>
              </w:rPr>
              <w:t>Mẫu HK02 - phieu bao thay doi ho khau.docx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Sổ hộ khẩu có đăng ký thường trú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quan công an đăng ký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Ủy ban nhân dân phường, xã, thị trấn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Hộ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36/2014/TT-BCA </w:t>
            </w:r>
          </w:p>
        </w:tc>
        <w:tc>
          <w:p/>
          <w:p>
            <w:pPr>
              <w:spacing w:after="0" w:before="0" w:lineRule="auto" w:line="276"/>
              <w:jc w:val="left"/>
            </w:pPr>
            <w:r>
              <w:rPr>
                <w:rFonts w:ascii="Times New Roman" w:hAnsi="Times New Roman" w:cs="Times New Roman" w:eastAsia="Times New Roman"/>
                <w:b w:val="false"/>
                <w:sz w:val="26"/>
              </w:rPr>
              <w:t>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hướng dẫn thực hiện liên thông các thủ tục hành chính về đăng ký khai sinh, đăng ký thường trú, cấp thẻ bảo hiểm y tế cho trẻ em dưới 06 tuổi</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01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42/2016/QĐ-UBND </w:t>
            </w:r>
          </w:p>
        </w:tc>
        <w:tc>
          <w:p/>
          <w:p>
            <w:pPr>
              <w:spacing w:after="0" w:before="0" w:lineRule="auto" w:line="276"/>
              <w:jc w:val="left"/>
            </w:pPr>
            <w:r>
              <w:rPr>
                <w:rFonts w:ascii="Times New Roman" w:hAnsi="Times New Roman" w:cs="Times New Roman" w:eastAsia="Times New Roman"/>
                <w:b w:val="false"/>
                <w:sz w:val="26"/>
              </w:rPr>
              <w:t>Quy chế thực hiện liên thông thủ tục hành chính về đăng ký khai sinh, đăng ký thường trú, cấp thẻ bảo hiểm y tế cho trẻ em dưới 6 tuổi và đăng ký khai tử, xóa đăng ký thường trú trên địa bàn thành phố Hồ Chi Minh</w:t>
            </w:r>
          </w:p>
        </w:tc>
        <w:tc>
          <w:p/>
          <w:p>
            <w:pPr>
              <w:spacing w:after="0" w:before="0" w:lineRule="auto" w:line="276"/>
              <w:jc w:val="left"/>
            </w:pPr>
            <w:r>
              <w:rPr>
                <w:rFonts w:ascii="Times New Roman" w:hAnsi="Times New Roman" w:cs="Times New Roman" w:eastAsia="Times New Roman"/>
                <w:b w:val="false"/>
                <w:sz w:val="26"/>
              </w:rPr>
              <w:t>28-10-2016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quan thực hiện thủ tục liên thông phải cùng thuộc địa bàn một quận, huyện trên địa bàn thành phố Hồ Chí Minh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2026-05-23T19:33:07Z</dcterms:created>
  <dc:creator>Apache POI</dc:creator>
</cp:coreProperties>
</file>