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đặt cược bóng đá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Doanh nghiệp nộp một (01) bộ hồ sơ đề nghị cấp Giấy chứng nhận đủ điều kiện kinh doanh đặt cược bóng đá quốc tế đến Bộ Tài chính để kiểm tra tính đầy đủ và hợp lệ của hồ sơ. </w:t>
      </w:r>
    </w:p>
    <w:p>
      <w:pPr>
        <w:spacing w:after="0" w:before="0" w:lineRule="auto" w:line="276"/>
        <w:jc w:val="both"/>
      </w:pPr>
      <w:r>
        <w:rPr>
          <w:rFonts w:ascii="Times New Roman" w:hAnsi="Times New Roman" w:cs="Times New Roman" w:eastAsia="Times New Roman"/>
          <w:b w:val="false"/>
          <w:sz w:val="26"/>
        </w:rPr>
        <w:t>+ Trong thời hạn năm (05) ngày làm việc, kể từ ngày nhận được hồ sơ, Bộ Tài chính thông báo về tính đầy đủ, hợp lệ của hồ sơ và yêu cầu doanh nghiệp bổ sung tài liệu (nếu có) và gửi năm (05) bộ hồ sơ chính thức để thẩm định.</w:t>
      </w:r>
    </w:p>
    <w:p>
      <w:pPr>
        <w:spacing w:after="0" w:before="0" w:lineRule="auto" w:line="276"/>
        <w:jc w:val="both"/>
      </w:pPr>
      <w:r>
        <w:rPr>
          <w:rFonts w:ascii="Times New Roman" w:hAnsi="Times New Roman" w:cs="Times New Roman" w:eastAsia="Times New Roman"/>
          <w:b w:val="false"/>
          <w:sz w:val="26"/>
        </w:rPr>
        <w:t>+ Trong thời hạn mười lăm (15) ngày kể từ ngày nhận được hồ sơ hợp lệ, Bộ Tài chính gửi hồ sơ lấy ý kiến các cơ quan có liên quan gồm: Bộ Văn hoá, Thể thao và Du lịch, Bộ Kế hoạch và Đầu tư, Bộ Công an và Ủy ban nhân dân cấp tỉnh nơi doanh nghiệp đăng ký đầu tư;</w:t>
      </w:r>
    </w:p>
    <w:p>
      <w:pPr>
        <w:spacing w:after="0" w:before="0" w:lineRule="auto" w:line="276"/>
        <w:jc w:val="both"/>
      </w:pPr>
      <w:r>
        <w:rPr>
          <w:rFonts w:ascii="Times New Roman" w:hAnsi="Times New Roman" w:cs="Times New Roman" w:eastAsia="Times New Roman"/>
          <w:b w:val="false"/>
          <w:sz w:val="26"/>
        </w:rPr>
        <w:t xml:space="preserve"> + Trong thời hạn ba mươi (30) ngày kể từ ngày gửi hồ sơ lấy ý kiến các cơ quan có liên quan nêu trên, Bộ Tài chính thành lập đoàn công tác liên ngành gồm: Bộ Văn hoá, Thể thao và Du lịch, Bộ Kế hoạch và Đầu tư, Bộ Công an và Ủy ban nhân dân cấp tỉnh nơi doanh nghiệp đăng ký đầu tư kiểm tra thực địa tại địa bàn kinh doanh đặt cược và trụ sở chính của doanh nghiệp xin cấp Giấy chứng nhận đủ điều kiện kinh doanh đặt cược;</w:t>
      </w:r>
    </w:p>
    <w:p>
      <w:pPr>
        <w:spacing w:after="0" w:before="0" w:lineRule="auto" w:line="276"/>
        <w:jc w:val="both"/>
      </w:pPr>
      <w:r>
        <w:rPr>
          <w:rFonts w:ascii="Times New Roman" w:hAnsi="Times New Roman" w:cs="Times New Roman" w:eastAsia="Times New Roman"/>
          <w:b w:val="false"/>
          <w:sz w:val="26"/>
        </w:rPr>
        <w:t>+ Trong thời hạn mười (15) ngày kể từ ngày kết thúc kiểm tra thực địa, cơ quan được lấy ý kiến phải có ý kiến bằng văn bản gửi Bộ Tài chính và chịu trách nhiệm về những nội dung được lấy ý kiến;</w:t>
      </w:r>
    </w:p>
    <w:p>
      <w:pPr>
        <w:spacing w:after="0" w:before="0" w:lineRule="auto" w:line="276"/>
        <w:jc w:val="both"/>
      </w:pPr>
      <w:r>
        <w:rPr>
          <w:rFonts w:ascii="Times New Roman" w:hAnsi="Times New Roman" w:cs="Times New Roman" w:eastAsia="Times New Roman"/>
          <w:b w:val="false"/>
          <w:sz w:val="26"/>
        </w:rPr>
        <w:t>+ Sau khi nhận được ý kiến tham gia của các cơ quan có liên quan nêu trên, Bộ Tài chính tổng hợp ý kiến và xem xét, quyết định việc cấp hoặc không cấp Giấy chứng nhận đủ điều kiện kinh doanh đặt cược.</w:t>
      </w:r>
    </w:p>
    <w:p>
      <w:pPr>
        <w:spacing w:after="0" w:before="0" w:lineRule="auto" w:line="276"/>
        <w:jc w:val="both"/>
      </w:pPr>
      <w:r>
        <w:rPr>
          <w:rFonts w:ascii="Times New Roman" w:hAnsi="Times New Roman" w:cs="Times New Roman" w:eastAsia="Times New Roman"/>
          <w:b w:val="false"/>
          <w:sz w:val="26"/>
        </w:rPr>
        <w:t>+ Trong thời hạn chín mươi (90) ngày kể từ ngày nhận đủ hồ sơ hợp lệ, Bộ Tài chính xem xét và cấp Giấy chứng nhận đủ điều kiện kinh doanh đặt cược. Trường hợp từ chối cấp Giấy chứng nhận đủ điều kiện kinh doanh đặt cược, Bộ Tài chính thông báo bằng văn bản cho doanh nghiệp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90 ngày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90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cấp Giấy chứng nhận đủ điều kiện kinh doanh đặt cược;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doanh nghiệp được cơ quan quản lý nhà nước có thẩm quyền cấp theo quy định của pháp luật về doanh nghiệp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đầu tư hoặc văn bản quyết định chủ trương đầu tư kinh doanh đặt cược bóng đá quốc tế được cơ quan quản lý nhà nước có thẩm quyền cấp theo quy định của pháp luật về đầu tư hoặc bản sao không có chứng thực và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Phiếu lý lịch tư pháp đối với người quản lý, điều hành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Tài liệu, hồ sơ chứng minh doanh nghiệp đáp ứng đủ điều kiện theo quy định tại Khoản 2 Điều 39 Nghị định số 06/2017/NĐ-CP: doanh nghiệp chuẩn bị sẵn sàng về cơ sở vật chất và kỹ thuật phục vụ cho quá trình kinh doanh, trong đó hệ thống công nghệ, thiết bị kỹ thuật, phần mềm kinh doanh đảm bảo hiện đại, đồng bộ, có thể dễ dàng nâng cấp, vận hành chính xác, an toàn, ổn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6</w:t>
            </w:r>
          </w:p>
        </w:tc>
      </w:tr>
      <w:tr>
        <w:tc>
          <w:p/>
          <w:p>
            <w:pPr>
              <w:spacing w:after="0" w:before="0" w:lineRule="auto" w:line="276"/>
              <w:jc w:val="left"/>
            </w:pPr>
            <w:r>
              <w:rPr>
                <w:rFonts w:ascii="Times New Roman" w:hAnsi="Times New Roman" w:cs="Times New Roman" w:eastAsia="Times New Roman"/>
                <w:b w:val="false"/>
                <w:sz w:val="26"/>
              </w:rPr>
              <w:t>+ Dự thảo Thể lệ đặt cược và quy định nội bộ về phòng, chống rửa tiền.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 Trần Hưng Đạo,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dịch vụ đặt cược đua ngựa/đua chó/thí điểm bóng đá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06/2017/NĐ-CP</w:t>
            </w:r>
          </w:p>
        </w:tc>
        <w:tc>
          <w:p/>
          <w:p>
            <w:pPr>
              <w:spacing w:after="0" w:before="0" w:lineRule="auto" w:line="276"/>
              <w:jc w:val="left"/>
            </w:pPr>
            <w:r>
              <w:rPr>
                <w:rFonts w:ascii="Times New Roman" w:hAnsi="Times New Roman" w:cs="Times New Roman" w:eastAsia="Times New Roman"/>
                <w:b w:val="false"/>
                <w:sz w:val="26"/>
              </w:rPr>
              <w:t>Nghị định số 06/2017/NĐ-CP</w:t>
            </w:r>
          </w:p>
        </w:tc>
        <w:tc>
          <w:p/>
          <w:p>
            <w:pPr>
              <w:spacing w:after="0" w:before="0" w:lineRule="auto" w:line="276"/>
              <w:jc w:val="left"/>
            </w:pPr>
            <w:r>
              <w:rPr>
                <w:rFonts w:ascii="Times New Roman" w:hAnsi="Times New Roman" w:cs="Times New Roman" w:eastAsia="Times New Roman"/>
                <w:b w:val="false"/>
                <w:sz w:val="26"/>
              </w:rPr>
              <w:t>24-01-2017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được lựa chọn thí điểm kinh doanh đặt cược bóng đá quốc tế theo quy định tại Điều 38 của Nghị định số 06/2017/NĐ-CP trước khi tổ chức hoạt động kinh doanh đặt cược bóng đá quốc tế phải xin cấp Giấy chứng nhận đủ điều kiện kinh doanh đặt cược bóng đá quốc tế.
+ Điều kiện được cấp Giấy chứng nhận đủ điều kiện kinh doanh đặt cược bóng đá quốc tế là doanh nghiệp phải chuẩn bị sẵn sàng về cơ sở vật chất và kỹ thuật phục vụ cho quá trình kinh doanh, trong đó hệ thống công nghệ, thiết bị kỹ thuật, phần mềm kinh doanh bảo đảm hiện đại, đồng bộ, có thể dễ dàng nâng cấp, vận hành chính xác, an toàn, ổn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2026-05-20T05:21:37Z</dcterms:created>
  <dc:creator>Apache POI</dc:creator>
</cp:coreProperties>
</file>