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1.007247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quyền sử dụng đất, quyền sở hữu nhà ở và tài sản khác gắn liền với đất cho người nhận chuyển nhượng quyền sử dụng đất, mua nhà ở, công trình xây dựng trong các dự án phát triển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của Sở Tài nguyên và Môi trường tại Trung tâm Phục vụ hành chính công tỉnh (số 28, Đại lộ Lê Lợi, phường Điện Biên, thành phố Thanh Hoá, tỉnh Thanh Hoá).
Bước 1: Chủ đầu tư dự án phát triển nhà ở, người nhận chuyển nhượng quyền sử dụng đất, mua nhà ở, công trình xây dựng chuẩn bị đầy đủ hồ sơ theo quy định; 
Bước 2: Trong cùng ngày tiếp nhận hồ sơ, Trung tâm Phục vụ hành chính công tỉnh chuyển hồ sơ về Sở Tài nguyên và Môi trường để giải quyết theo quy định.
Trường hợp hồ sơ chưa đầy đủ, chưa hợp lệ thì trong thời gian tối đa 03 ngày làm việc, cơ quan tiếp nhận, xử lý hồ sơ phải thông báo và hướng dẫn người nộp hồ sơ bổ sung, hoàn chỉnh hồ sơ theo quy định.
- Trong thời hạn 05 ngày làm việc, kể từ ngày nhận được hồ sơ hợp lệ, Sở Tài  nguyên và Môi trường có trách nhiệm kiểm tra hiện trạng sử dụng đất, nhà ở và công trình đã xây dựng và điều kiện chuyển nhượng quyền sử dụng đất, bán nhà ở của chủ đầu tư dự án.
- Sau khi hoàn thành kiểm tra, Sở Tài nguyên và Môi trường có trách nhiệm:
+ Gửi thông báo cho chủ đầu tư dự án về kết quả kiểm tra; 
+ Gửi thông báo kèm theo sơ đồ nhà đất đã kiểm tra cho Văn phòng đăng ký quyền sử dụng đất để làm thủ tục đăng ký nhà, đất cho bên mua đối với các trường hợp đủ điều kiện theo quy định của pháp luật. 
+ Đăng công khai kết quả kiểm tra trên trang thông tin điện tử của Ủy ban nhân dân tỉnh, của Sở Tài nguyên và Môi trường nơi có đất.
- Chủ đầu tư dự án phát triển nhà ở nộp hồ sơ thay cho người nhận chuyển nhượng quyền sử dụng đất, mua nhà ở, công trình xây dựng hoặc cung cấp hồ sơ cho bên mua để tự đi đăng ký.
- Trong thời hạn 07 ngày làm việc, kể từ ngày nhận đủ hồ sơ hợp lệ, Văn phòng đăng ký quyền sử dụng đất có trách nhiệm thực hiện các công việc sau:
+ Kiểm tra các giấy tờ pháp lý trong hồ sơ; xác nhận đủ điều kiện hay không đủ điều kiện cấp Giấy chứng nhận quyền sử dụng đất, quyền sở hữu nhà ở và tài sản khác gắn liền với đất vào đơn đăng ký;
+ Gửi số liệu địa chính đến cơ quan thuế để xác định nghĩa vụ tài chính (nếu có); 
+ Cập nhật thông tin vào hồ sơ địa chính, cơ sở dữ liệu đất đai (nếu có).
- Trong thời hạn 05 ngày làm việc, kể từ ngày nhận đủ hồ sơ hợp lệ do Văn phòng Đăng ký quyền sử dụng đất thuộc Sở Tài nguyên và Môi trường chuyển đến, Cơ quan thuế xác định và thông báo thu nghĩa vụ tài chính đối với trường hợp phải thực hiện nghĩa vụ tài chính theo quy định.
- Trường hợp người sử dụng đất đã nộp chứng từ hoàn thành nghĩa vụ tài chính (hoặc được miễn nghĩa vụ tài chính liên quan đến thủ tục hành chính), trong thời hạn 03 ngày làm việc, kể từ ngày nhận được Tờ trình kèm theo hồ sơ của Văn phòng Đăng ký quyền sử dụng đất chuyển đến, Sở Tài nguyên và Môi trường ký Giấy chứng nhận.
+ Yêu cầu chủ đầu tư dự án nộp Giấy chứng nhận quyền sử dụng đất, quyền sở hữu nhà ở và tài sản khác gắn liền với đất đã được cấp để chỉnh lý vào hồ sơ địa chính, cơ sở dữ liệu đất đai; 
+ Trả Giấy chứng nhận cho Trung tâm Phục vụ hành chính công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Lệ phí : 30.000 đồng/Giấy </w:t>
              <w:t xml:space="preserve"> (Xác nhận đăng ký biến động)</w:t>
            </w:r>
          </w:p>
          <w:p>
            <w:pPr>
              <w:spacing w:after="0" w:before="0" w:lineRule="auto" w:line="276"/>
              <w:jc w:val="left"/>
            </w:pPr>
            <w:r>
              <w:rPr>
                <w:rFonts w:ascii="Times New Roman" w:hAnsi="Times New Roman" w:cs="Times New Roman" w:eastAsia="Times New Roman"/>
                <w:b w:val="false"/>
                <w:sz w:val="26"/>
              </w:rPr>
              <w:t xml:space="preserve">Lệ phí : 600.000 đồng/giấy </w:t>
              <w:t xml:space="preserve"> (Cấp mới giấy chứng nhận quyền sử dụng đất, quyền sở hữu nhà ở và tài sản gắn liền với đất (bao gồm cả đất và tài sản trên đất))</w:t>
            </w:r>
          </w:p>
          <w:p>
            <w:pPr>
              <w:spacing w:after="0" w:before="0" w:lineRule="auto" w:line="276"/>
              <w:jc w:val="left"/>
            </w:pPr>
            <w:r>
              <w:rPr>
                <w:rFonts w:ascii="Times New Roman" w:hAnsi="Times New Roman" w:cs="Times New Roman" w:eastAsia="Times New Roman"/>
                <w:b w:val="false"/>
                <w:sz w:val="26"/>
              </w:rPr>
              <w:t xml:space="preserve">Lệ phí : 400.000 đồng/giấy </w:t>
              <w:t xml:space="preserve"> (Cấp mới Giấy chứng nhận chỉ có quyền sở hữu tài sản gắn liền với đất)</w:t>
            </w:r>
          </w:p>
          <w:p>
            <w:pPr>
              <w:spacing w:after="0" w:before="0" w:lineRule="auto" w:line="276"/>
              <w:jc w:val="left"/>
            </w:pPr>
            <w:r>
              <w:rPr>
                <w:rFonts w:ascii="Times New Roman" w:hAnsi="Times New Roman" w:cs="Times New Roman" w:eastAsia="Times New Roman"/>
                <w:b w:val="false"/>
                <w:sz w:val="26"/>
              </w:rPr>
              <w:t xml:space="preserve">Lệ phí : 200.000 đồng/giấy </w:t>
              <w:t xml:space="preserve"> (Cấp mới Giấy chứng nhận chỉ có quyền sử dụng đất (không có nhà và tài sản gắn liền với đất))</w:t>
            </w:r>
          </w:p>
          <w:p>
            <w:pPr>
              <w:spacing w:after="0" w:before="0" w:lineRule="auto" w:line="276"/>
              <w:jc w:val="left"/>
            </w:pPr>
            <w:r>
              <w:rPr>
                <w:rFonts w:ascii="Times New Roman" w:hAnsi="Times New Roman" w:cs="Times New Roman" w:eastAsia="Times New Roman"/>
                <w:b w:val="false"/>
                <w:sz w:val="26"/>
              </w:rPr>
              <w:t xml:space="preserve">Lệ phí : 30.000 đồng/bản </w:t>
              <w:t xml:space="preserve"> (Trích lục bản đồ)</w:t>
            </w:r>
          </w:p>
          <w:p>
            <w:pPr>
              <w:spacing w:after="0" w:before="0" w:lineRule="auto" w:line="276"/>
              <w:jc w:val="left"/>
            </w:pPr>
            <w:r>
              <w:rPr>
                <w:rFonts w:ascii="Times New Roman" w:hAnsi="Times New Roman" w:cs="Times New Roman" w:eastAsia="Times New Roman"/>
                <w:b w:val="false"/>
                <w:sz w:val="26"/>
              </w:rPr>
              <w:t xml:space="preserve">Lệ phí :  </w:t>
              <w:t xml:space="preserve"> (* Trường hợp phải trích đo địa chính: Mức thu theo quy định tại Quyết định số 21/2018/QĐ-UBND ngày 10/7/2018 của UBND tỉnh Thanh Hóa 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hợp lệ, trong đó:
- Tại Sở Tài nguyên và Môi trường (kiểm tra điều kiện để chuyển nhượng quyền sử dụng đất, bán nhà ở của chủ dự án): 05 ngày làm việc;
- Tại Văn phòng đăng ký quyền sử dụng đất tỉnh: 7 ngày làm việc;
- Tại Cơ quan thuế: 05 ngày làm việc (đối với trường hợp phải thực hiện nghĩa vụ tài chính);
- Tại Sở Tài nguyên và Môi trường (ký Giấy chứng nhận quyền sử dụng đất, quyền sở hữu nhà ở và tài sản khác gắn liền với đất): 03 ngày làm việc.
Thời gian trên không tính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Lệ phí : 30.000 đồng/Giấy </w:t>
              <w:t xml:space="preserve"> (Xác nhận đăng ký biến động)</w:t>
            </w:r>
          </w:p>
          <w:p>
            <w:pPr>
              <w:spacing w:after="0" w:before="0" w:lineRule="auto" w:line="276"/>
              <w:jc w:val="left"/>
            </w:pPr>
            <w:r>
              <w:rPr>
                <w:rFonts w:ascii="Times New Roman" w:hAnsi="Times New Roman" w:cs="Times New Roman" w:eastAsia="Times New Roman"/>
                <w:b w:val="false"/>
                <w:sz w:val="26"/>
              </w:rPr>
              <w:t xml:space="preserve">Lệ phí : 600.000 đồng/giấy </w:t>
              <w:t xml:space="preserve"> (Cấp mới giấy chứng nhận quyền sử dụng đất, quyền sở hữu nhà ở và tài sản gắn liền với đất (bao gồm cả đất và tài sản trên đất))</w:t>
            </w:r>
          </w:p>
          <w:p>
            <w:pPr>
              <w:spacing w:after="0" w:before="0" w:lineRule="auto" w:line="276"/>
              <w:jc w:val="left"/>
            </w:pPr>
            <w:r>
              <w:rPr>
                <w:rFonts w:ascii="Times New Roman" w:hAnsi="Times New Roman" w:cs="Times New Roman" w:eastAsia="Times New Roman"/>
                <w:b w:val="false"/>
                <w:sz w:val="26"/>
              </w:rPr>
              <w:t xml:space="preserve">Lệ phí : 400.000 đồng/giấy </w:t>
              <w:t xml:space="preserve"> (Cấp mới Giấy chứng nhận chỉ có quyền sở hữu tài sản gắn liền với đất)</w:t>
            </w:r>
          </w:p>
          <w:p>
            <w:pPr>
              <w:spacing w:after="0" w:before="0" w:lineRule="auto" w:line="276"/>
              <w:jc w:val="left"/>
            </w:pPr>
            <w:r>
              <w:rPr>
                <w:rFonts w:ascii="Times New Roman" w:hAnsi="Times New Roman" w:cs="Times New Roman" w:eastAsia="Times New Roman"/>
                <w:b w:val="false"/>
                <w:sz w:val="26"/>
              </w:rPr>
              <w:t xml:space="preserve">Lệ phí : 200.000 đồng/giấy </w:t>
              <w:t xml:space="preserve"> (Cấp mới Giấy chứng nhận chỉ có quyền sử dụng đất (không có nhà và tài sản gắn liền với đất))</w:t>
            </w:r>
          </w:p>
          <w:p>
            <w:pPr>
              <w:spacing w:after="0" w:before="0" w:lineRule="auto" w:line="276"/>
              <w:jc w:val="left"/>
            </w:pPr>
            <w:r>
              <w:rPr>
                <w:rFonts w:ascii="Times New Roman" w:hAnsi="Times New Roman" w:cs="Times New Roman" w:eastAsia="Times New Roman"/>
                <w:b w:val="false"/>
                <w:sz w:val="26"/>
              </w:rPr>
              <w:t xml:space="preserve">Lệ phí : 30.000 đồng/bản </w:t>
              <w:t xml:space="preserve"> (Trích lục bản đồ)</w:t>
            </w:r>
          </w:p>
          <w:p>
            <w:pPr>
              <w:spacing w:after="0" w:before="0" w:lineRule="auto" w:line="276"/>
              <w:jc w:val="left"/>
            </w:pPr>
            <w:r>
              <w:rPr>
                <w:rFonts w:ascii="Times New Roman" w:hAnsi="Times New Roman" w:cs="Times New Roman" w:eastAsia="Times New Roman"/>
                <w:b w:val="false"/>
                <w:sz w:val="26"/>
              </w:rPr>
              <w:t xml:space="preserve">Lệ phí :  </w:t>
              <w:t xml:space="preserve"> (* Trường hợp phải trích đo địa chính: Mức thu theo quy định tại Quyết định số 21/2018/QĐ-UBND ngày 10/7/2018 của UBND tỉnh Thanh Hóa 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hợp lệ, trong đó:
- Tại Sở Tài nguyên và Môi trường (kiểm tra điều kiện để chuyển nhượng quyền sử dụng đất, bán nhà ở của chủ dự án): 05 ngày làm việc;
- Tại Văn phòng đăng ký quyền sử dụng đất tỉnh: 7 ngày làm việc;
- Tại Cơ quan thuế: 05 ngày làm việc (đối với trường hợp phải thực hiện nghĩa vụ tài chính);
- Tại Sở Tài nguyên và Môi trường (ký Giấy chứng nhận quyền sử dụng đất, quyền sở hữu nhà ở và tài sản khác gắn liền với đất): 03 ngày làm việc.
Thời gian trên không tính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về đăng ký, cấp giấy chứng nhận * Đối với Chủ đầu tư dự án phát triển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phê duyệt dự án hoặc quyết định đầu tư hoặc giấy phép đầu tư hoặc giấy chứng nhận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phê duyệt quy hoạch xây dựng chi tiết tỷ lệ 1/500; giấy phép xây dựng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hoặc quyết định giao đất, cho thuê đất của cơ quan có thẩm quyền; chứng từ thực hiện nghĩa vụ tài chính của chủ dự án phát triển nhà ở (trừ trường hợp được miễn hoặc chậm nộp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đồ nhà, đất đã xây dựng là bản vẽ mặt bằng hoàn công hoặc bản vẽ thiết kế mặt bằng có kích thước các cạnh của từng căn hộ đã bán phù hợp với hiện trạng xây dựng và hợp đồng đã ký; danh sách các căn hộ, công trình xây dựng để bán (có các thông tin số hiệu căn hộ, diện tích đất, diện tích xây dựng và diện tích sử dụng chung, riêng của từng căn hộ); trường hợp nhà chung cư thì sơ đồ phải thể hiện phạm vi (kích thước, diện tích) phần đất sử dụng chung của các chủ căn hộ, mặt bằng xây dựng nhà chung cư, mặt bằng của từng tầng, từng căn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3.1) Hồ sơ về đăng ký, cấp giấy chứng nhận * Đối với người mua nhà là tổ chức, người Việt Nam định cư ở nước ngoài, doanh nghiệp có vốn đầu tư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cấp Giấy chứng nhận quyền sử dụng đất, quyền sở hữu nhà ở và tài sản khác gắn liền với đất theo Mẫu số 04a/ĐK.</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về chuyển nhượng quyền sử dụng đất, mua bán nhà ở, công trình xây dựng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bàn giao nhà, đất,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nghĩa vụ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Tờ khai lệ phí trước bạ</w:t>
            </w:r>
          </w:p>
        </w:tc>
        <w:tc>
          <w:p/>
          <w:p>
            <w:pPr>
              <w:spacing w:after="0" w:before="0" w:lineRule="auto" w:line="276"/>
              <w:jc w:val="left"/>
            </w:pPr>
            <w:r>
              <w:rPr>
                <w:rFonts w:ascii="Times New Roman" w:hAnsi="Times New Roman" w:cs="Times New Roman" w:eastAsia="Times New Roman"/>
                <w:b w:val="false"/>
                <w:sz w:val="26"/>
              </w:rPr>
              <w:t>01-lptb.docx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Tờ khai thuế sử dụng đất phi nông nghiệp (nếu có)</w:t>
            </w:r>
          </w:p>
        </w:tc>
        <w:tc>
          <w:p/>
          <w:p>
            <w:pPr>
              <w:spacing w:after="0" w:before="0" w:lineRule="auto" w:line="276"/>
              <w:jc w:val="left"/>
            </w:pPr>
            <w:r>
              <w:rPr>
                <w:rFonts w:ascii="Times New Roman" w:hAnsi="Times New Roman" w:cs="Times New Roman" w:eastAsia="Times New Roman"/>
                <w:b w:val="false"/>
                <w:sz w:val="26"/>
              </w:rPr>
              <w:t>tk thuế phi nn.docx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Tờ khai thuế thu nhập từ chuyển nhượng bất động sản (trừ trường hợp bên chuyển nhượng là doanh nghiệp có chức năng kinh doanh bất động sản) theo quy định của pháp luật về thuế (nếu có) (Mẫu số 02/TNDN) ;</w:t>
            </w:r>
          </w:p>
        </w:tc>
        <w:tc>
          <w:p/>
          <w:p>
            <w:pPr>
              <w:spacing w:after="0" w:before="0" w:lineRule="auto" w:line="276"/>
              <w:jc w:val="left"/>
            </w:pPr>
            <w:r>
              <w:rPr>
                <w:rFonts w:ascii="Times New Roman" w:hAnsi="Times New Roman" w:cs="Times New Roman" w:eastAsia="Times New Roman"/>
                <w:b w:val="false"/>
                <w:sz w:val="26"/>
              </w:rPr>
              <w:t>to khai thue thu nhap ca nhan.docx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Văn bản của người sử dụng đất đề nghị được miễn, giảm các Khoản nghĩa vụ tài chính về đất đai</w:t>
            </w:r>
          </w:p>
        </w:tc>
        <w:tc>
          <w:p/>
          <w:p>
            <w:pPr>
              <w:spacing w:after="0" w:before="0" w:lineRule="auto" w:line="276"/>
              <w:jc w:val="left"/>
            </w:pPr>
            <w:r>
              <w:rPr>
                <w:rFonts w:ascii="Times New Roman" w:hAnsi="Times New Roman" w:cs="Times New Roman" w:eastAsia="Times New Roman"/>
                <w:b w:val="false"/>
                <w:sz w:val="26"/>
              </w:rPr>
              <w:t>vanbandenghimiengiamthue.docx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Hợp đồng chuyển nhượng bất động sản theo quy định của pháp luật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Tài nguyên và Môi trường tại Trung tâm Phục vụ hành chính công tỉnh (số 28, Đại lộ Lê Lợi, phường Điện Biên, thành phố Thanh Hoá, tỉnh Thanh Hoá).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Kho bạc Nhà nước - Bộ tài chính, Cơ quan thuế, Phòng Tài nguyên và Môi trường, Cơ quan quản lý nhà nước về nhà ở, xây dựng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92/2015/TT-BTC</w:t>
            </w:r>
          </w:p>
        </w:tc>
        <w:tc>
          <w:p/>
          <w:p>
            <w:pPr>
              <w:spacing w:after="0" w:before="0" w:lineRule="auto" w:line="276"/>
              <w:jc w:val="left"/>
            </w:pPr>
            <w:r>
              <w:rPr>
                <w:rFonts w:ascii="Times New Roman" w:hAnsi="Times New Roman" w:cs="Times New Roman" w:eastAsia="Times New Roman"/>
                <w:b w:val="false"/>
                <w:sz w:val="26"/>
              </w:rPr>
              <w:t>Thông tư 92/2015/TT-BTC</w:t>
            </w:r>
          </w:p>
        </w:tc>
        <w:tc>
          <w:p/>
          <w:p>
            <w:pPr>
              <w:spacing w:after="0" w:before="0" w:lineRule="auto" w:line="276"/>
              <w:jc w:val="left"/>
            </w:pPr>
            <w:r>
              <w:rPr>
                <w:rFonts w:ascii="Times New Roman" w:hAnsi="Times New Roman" w:cs="Times New Roman" w:eastAsia="Times New Roman"/>
                <w:b w:val="false"/>
                <w:sz w:val="26"/>
              </w:rPr>
              <w:t>15-06-2015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76/2015/NĐ-CP</w:t>
            </w:r>
          </w:p>
        </w:tc>
        <w:tc>
          <w:p/>
          <w:p>
            <w:pPr>
              <w:spacing w:after="0" w:before="0" w:lineRule="auto" w:line="276"/>
              <w:jc w:val="left"/>
            </w:pPr>
            <w:r>
              <w:rPr>
                <w:rFonts w:ascii="Times New Roman" w:hAnsi="Times New Roman" w:cs="Times New Roman" w:eastAsia="Times New Roman"/>
                <w:b w:val="false"/>
                <w:sz w:val="26"/>
              </w:rPr>
              <w:t>Nghị định 76/2015/NĐ-CP</w:t>
            </w:r>
          </w:p>
        </w:tc>
        <w:tc>
          <w:p/>
          <w:p>
            <w:pPr>
              <w:spacing w:after="0" w:before="0" w:lineRule="auto" w:line="276"/>
              <w:jc w:val="left"/>
            </w:pPr>
            <w:r>
              <w:rPr>
                <w:rFonts w:ascii="Times New Roman" w:hAnsi="Times New Roman" w:cs="Times New Roman" w:eastAsia="Times New Roman"/>
                <w:b w:val="false"/>
                <w:sz w:val="26"/>
              </w:rPr>
              <w:t>10-09-2015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156/2013/TT-BTC</w:t>
            </w:r>
          </w:p>
        </w:tc>
        <w:tc>
          <w:p/>
          <w:p>
            <w:pPr>
              <w:spacing w:after="0" w:before="0" w:lineRule="auto" w:line="276"/>
              <w:jc w:val="left"/>
            </w:pPr>
            <w:r>
              <w:rPr>
                <w:rFonts w:ascii="Times New Roman" w:hAnsi="Times New Roman" w:cs="Times New Roman" w:eastAsia="Times New Roman"/>
                <w:b w:val="false"/>
                <w:sz w:val="26"/>
              </w:rPr>
              <w:t>Thông tư 156/2013/TT-BTC -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06-11-2013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21/2018/QĐ-UBND</w:t>
            </w:r>
          </w:p>
        </w:tc>
        <w:tc>
          <w:p/>
          <w:p>
            <w:pPr>
              <w:spacing w:after="0" w:before="0" w:lineRule="auto" w:line="276"/>
              <w:jc w:val="left"/>
            </w:pPr>
            <w:r>
              <w:rPr>
                <w:rFonts w:ascii="Times New Roman" w:hAnsi="Times New Roman" w:cs="Times New Roman" w:eastAsia="Times New Roman"/>
                <w:b w:val="false"/>
                <w:sz w:val="26"/>
              </w:rPr>
              <w:t>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2026-05-09T14:18:53Z</dcterms:created>
  <dc:creator>Apache POI</dc:creator>
</cp:coreProperties>
</file>