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1.007249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3127/QĐ-UBND.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dự án/dự án điều chỉnh hoặc thẩm định thiết kế cơ sở/thiết kế cơ sở điều chỉnh (quy định tại Điểm b Khoản 2, Điểm b Khoản 3, Điểm b Khoản 5 Điều 10 Nghị định số 59/2015/NĐ-CP được sửa đổi bởi Khoản 4 Điều 1 Nghị định số 42/2017/NĐ-CP; Khoản 4 Điều 10 Nghị định số 59/2015/NĐ-CP; Khoản 4 Điều 1 Nghị định số 42/2017/NĐ-CP).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1.1. Trình tự thực hiện:
- Người đề nghị thẩm định gửi 01 bộ hồ sơ đến Sở Xây dựng, Sở quản lý công trình xây dựng chuyên ngành, Ban quản lý Khu kinh tế Nghi Sơn và các khu công nghiệp tỉnh để thực hiện thẩm định. Cụ thể như sau:
+ Sở Xây dựng: Đối với công trình dân dụng, công nghiệp nhẹ, công trình công nghiệp vật liệu xây dựng, công trình hạ tầng kỹ thuật và công trình giao thông trong đô thị (trừ công trình đường sắt đô thị, cầu vượt sông, quốc lộ qua đô thị).
+ Sở Giao thông vận tải: Đối với công trình giao thông (trừ dự án do Sở Xây dựng thẩm định nêu trên).
+ Sở Nông nghiệp và Phát triển nông thôn: Đối với công trình nông nghiệp và phát triển nông thôn.
+ Sở Công Thương: Đối với công trình hầm mỏ, dầu khí, nhà máy điện, đường dây tải điện, trạm biến áp và các công trình công nghiệp chuyên ngành.
+ Ban quản lý Khu kinh tế Nghi sơn và các khu công nghiệp tỉnh: Đối với hồ sơ thẩm định dự án/dự án điều chỉnh đầu tư xây dựng theo quy định tại Điểm c Khoản 1 Điều 3 Quy định phân công, phân cấp thẩm định dự án, thiết kế cơ sở và thiết kế, dự toán xây dựng công trình trên địa bàn tỉnh Thanh Hóa (ban hành kèm theo Quyết định số 24/2018/QĐ-UBND ngày 27/7/2018 của UBND tỉnh Thanh Hóa); thẩm định thiết kế cơ sở/thiết kế cơ sở điều chỉnh (trừ phần thiết kế công nghệ) của dự án đầu tư xây dựng theo quy định tại Điểm c Khoản 2, điểm c Khoản 4 Điều 3 Quy định phân công, phân cấp thẩm định dự án, thiết kế cơ sở và thiết kế, dự toán xây dựng công trình trên địa bàn tỉnh Thanh Hóa (ban hành kèm theo Quyết định số 24/2018/QĐ-UBND ngày 27/7/2018 của UBND tỉnh Thanh Hóa).
- Sở Xây dựng, Sở quản lý công trình xây dựng chuyên ngành, Ban quản lý Khu kinh tế Nghi Sơn và các Khu công nghiệp tỉnh sau khi xem xét hồ sơ hợp lệ, tiếp nhận hồ sơ và tổ chức thẩm định theo đúng thời hạn quy định. Đối với các hồ sơ trình thẩm định không đảm bảo điều kiện thẩm định theo quy định, cơ quan thẩm định có văn bản gửi người đề nghị thẩm định nêu rõ lý do và từ chối thực hiện thẩm định.
- Trường hợp cơ quan chuyên môn về xây dựng không đủ điều kiện thực hiện công tác thẩm định, trong thời gian 05 (năm) ngày làm việc kể từ khi nộp hồ sơ hợp lệ, cơ quan chuyên môn về xây dựng có văn bản thông báo cho chủ đầu tư các nội dung cần thẩm tra để chủ đầu tư lựa chọn và ký kết hợp đồng với tư vấn thẩm tra. Thời gian thực hiện thẩm tra không vượt quá 15 (mười lăm) ngày đối với dự án nhóm B và 10 (mười) ngày đối với dự án nhóm C. Chủ đầu tư có trách nhiệm gửi kết quả thẩm tra cho cơ quan chuyên môn về xây dựng, người quyết định đầu tư để làm cơ sở thẩm định. Trường hợp cần gia hạn thời gian thực hiện thẩm tra thì chủ đầu tư phải có văn bản thông báo đến cơ quan thẩm định để giải trình lý do và đề xuất gia hạn thời gian thực hiện.
</w:t>
      </w:r>
    </w:p>
    <w:p>
      <w:pPr>
        <w:spacing w:after="0" w:before="0" w:lineRule="auto" w:line="276"/>
        <w:jc w:val="both"/>
      </w:pPr>
      <w:r>
        <w:rPr>
          <w:rFonts w:ascii="Times New Roman" w:hAnsi="Times New Roman" w:cs="Times New Roman" w:eastAsia="Times New Roman"/>
          <w:b w:val="false"/>
          <w:sz w:val="26"/>
        </w:rPr>
        <w:t>1.2. Địa điểm thực hiện TTHC: 
- Bộ phận tiếp nhận và trả kết quả của các sở: Xây dựng, Giao thông vận tải, Công Thương, Nông nghiệp và Phát triển nông thôn tại Trung tâm Phục vụ hành chính công tỉnh (số 28 Đại lộ Lê Lợi, phường Điện Biên, thành phố Thanh Hóa, tỉnh Thanh Hóa). 
- Bộ phận tiếp nhận và trả kết quả của Ban quản lý Khu kinh tế Nghi Sơn và các Khu công nghiệp tỉnh Thanh Hóa (Km 372, Quốc lộ 1A, xã Trúc Lâm, huyện Tĩnh Gia, tỉnh Thanh Hóa). 
</w:t>
      </w:r>
    </w:p>
    <w:p>
      <w:pPr>
        <w:spacing w:after="0" w:before="0" w:lineRule="auto" w:line="276"/>
        <w:jc w:val="both"/>
      </w:pPr>
      <w:r>
        <w:rPr>
          <w:rFonts w:ascii="Times New Roman" w:hAnsi="Times New Roman" w:cs="Times New Roman" w:eastAsia="Times New Roman"/>
          <w:b w:val="false"/>
          <w:sz w:val="26"/>
        </w:rPr>
        <w:t>1.3. Thời gian thực hiện: Trong giờ hành chính các ngày từ thứ 2 đến thứ 6 hàng tuần (trừ ngày Lễ, Tết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gian thẩm định được tính từ ngày cơ quan, tổ chức thẩm định nhận đủ hồ sơ hợp lệ, cụ thể như sau: - Đối với thẩm định dự án/dự án điều chỉnh: + Không quá 30 ngày đối với dự án nhóm B; + Không quá 20 ngày đối với dự án nhóm C. - Đối với thẩm định thiết kế cơ sở/thiết kế cơ sở điều chỉnh: + Không quá 20 ngày đối với dự án nhóm B; + Không quá 15 ngày đối với dự án nhóm C. </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tại Thông tư số 209/2016/TT-BTC ngày 10/11/2016 của Bộ trưởng Bộ Tài chính.)</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Thời gian thẩm định được tính từ ngày cơ quan, tổ chức thẩm định nhận đủ hồ sơ hợp lệ, cụ thể như sau: - Đối với thẩm định dự án/dự án điều chỉnh: + Không quá 30 ngày đối với dự án nhóm B; + Không quá 20 ngày đối với dự án nhóm C. - Đối với thẩm định thiết kế cơ sở/thiết kế cơ sở điều chỉnh: + Không quá 20 ngày đối với dự án nhóm B; + Không quá 15 ngày đối với dự án nhóm C. </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tại Thông tư số 209/2016/TT-BTC ngày 10/11/2016 của Bộ trưởng Bộ Tài chính.)</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thẩm định dự án/dự án điều chỉnh hoặc thẩm định thiết kế cơ sở/thiết kế cơ sở điều chỉnh theo Mẫu số 01 Phụ lục II Nghị định số 59/2015/NĐ-CP;</w:t>
            </w:r>
          </w:p>
        </w:tc>
        <w:tc>
          <w:p/>
          <w:p>
            <w:pPr>
              <w:spacing w:after="0" w:before="0" w:lineRule="auto" w:line="276"/>
              <w:jc w:val="left"/>
            </w:pPr>
            <w:r>
              <w:rPr>
                <w:rFonts w:ascii="Times New Roman" w:hAnsi="Times New Roman" w:cs="Times New Roman" w:eastAsia="Times New Roman"/>
                <w:b w:val="false"/>
                <w:sz w:val="26"/>
              </w:rPr>
              <w:t>Mẫu số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nghiên cứu khả thi đầu tư xây dựng trong trường hợp thẩm định dự án/dự án điều chỉnh; hồ sơ thiết kế cơ sở (thuyết minh và bản vẽ) trong trường hợp thẩm định thiết kế cơ sở/thiết kế cơ sở điều chỉnh;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tài liệu, văn bản pháp lý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Phát triển Nông thôn, Sở Giao thông vận tải, Sở Xây dựng tỉnh Sơn La, Ban QL KKT Nghi sơn và các Khu công nghiệp, 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Nông nghiệp và Phát triển Nông thôn, Sở Giao thông vận tải, Sở Xây dựng, Ban QL KKT Nghi sơn và các Khu công nghiệp, Sở Công thương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của các sở: Xây dựng, Giao thông vận tải, Công Thương, Nông nghiệp và Phát triển nông thôn tại Trung tâm Phục vụ hành chính công tỉnh (số 28 Đại lộ Lê Lợi, phường Điện Biên, thành phố Thanh Hóa, tỉnh Thanh Hóa). - Bộ phận tiếp nhận và trả kết quả của Ban quản lý Khu kinh tế Nghi Sơn và các Khu công nghiệp tỉnh Thanh Hóa (Km 372, Quốc lộ 1A, xã Trúc Lâm, huyện Tĩnh Gia, tỉnh Thanh Hóa).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thông báo kết quả thẩm định dự án/dự án điều chỉnh hoặc thẩm định thiết kế cơ sở/thiết kế cơ sở điều chỉnh theo Mẫu số 02 Phụ lục II ban hành kèm theo Nghị định số 59/2015/NĐ-CP.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46/2015/NĐ-CP</w:t>
            </w:r>
          </w:p>
        </w:tc>
        <w:tc>
          <w:p/>
          <w:p>
            <w:pPr>
              <w:spacing w:after="0" w:before="0" w:lineRule="auto" w:line="276"/>
              <w:jc w:val="left"/>
            </w:pPr>
            <w:r>
              <w:rPr>
                <w:rFonts w:ascii="Times New Roman" w:hAnsi="Times New Roman" w:cs="Times New Roman" w:eastAsia="Times New Roman"/>
                <w:b w:val="false"/>
                <w:sz w:val="26"/>
              </w:rPr>
              <w:t>Về quản lý chất lượng và bảo trì công trình xây dựng</w:t>
            </w:r>
          </w:p>
        </w:tc>
        <w:tc>
          <w:p/>
          <w:p>
            <w:pPr>
              <w:spacing w:after="0" w:before="0" w:lineRule="auto" w:line="276"/>
              <w:jc w:val="left"/>
            </w:pPr>
            <w:r>
              <w:rPr>
                <w:rFonts w:ascii="Times New Roman" w:hAnsi="Times New Roman" w:cs="Times New Roman" w:eastAsia="Times New Roman"/>
                <w:b w:val="false"/>
                <w:sz w:val="26"/>
              </w:rPr>
              <w:t>12-05-2015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59/2015/NĐ-CP</w:t>
            </w:r>
          </w:p>
        </w:tc>
        <w:tc>
          <w:p/>
          <w:p>
            <w:pPr>
              <w:spacing w:after="0" w:before="0" w:lineRule="auto" w:line="276"/>
              <w:jc w:val="left"/>
            </w:pPr>
            <w:r>
              <w:rPr>
                <w:rFonts w:ascii="Times New Roman" w:hAnsi="Times New Roman" w:cs="Times New Roman" w:eastAsia="Times New Roman"/>
                <w:b w:val="false"/>
                <w:sz w:val="26"/>
              </w:rPr>
              <w:t>Về quản lý dự án đầu tư xây dựng</w:t>
            </w:r>
          </w:p>
        </w:tc>
        <w:tc>
          <w:p/>
          <w:p>
            <w:pPr>
              <w:spacing w:after="0" w:before="0" w:lineRule="auto" w:line="276"/>
              <w:jc w:val="left"/>
            </w:pPr>
            <w:r>
              <w:rPr>
                <w:rFonts w:ascii="Times New Roman" w:hAnsi="Times New Roman" w:cs="Times New Roman" w:eastAsia="Times New Roman"/>
                <w:b w:val="false"/>
                <w:sz w:val="26"/>
              </w:rPr>
              <w:t>18-06-2015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03/2016/TT-BXD</w:t>
            </w:r>
          </w:p>
        </w:tc>
        <w:tc>
          <w:p/>
          <w:p>
            <w:pPr>
              <w:spacing w:after="0" w:before="0" w:lineRule="auto" w:line="276"/>
              <w:jc w:val="left"/>
            </w:pPr>
            <w:r>
              <w:rPr>
                <w:rFonts w:ascii="Times New Roman" w:hAnsi="Times New Roman" w:cs="Times New Roman" w:eastAsia="Times New Roman"/>
                <w:b w:val="false"/>
                <w:sz w:val="26"/>
              </w:rPr>
              <w:t>Quy định về phân cấp công trình xây dựng và hướng dẫn áp dụng trong quản lý hoạt động đầu tư xây dựng</w:t>
            </w:r>
          </w:p>
        </w:tc>
        <w:tc>
          <w:p/>
          <w:p>
            <w:pPr>
              <w:spacing w:after="0" w:before="0" w:lineRule="auto" w:line="276"/>
              <w:jc w:val="left"/>
            </w:pPr>
            <w:r>
              <w:rPr>
                <w:rFonts w:ascii="Times New Roman" w:hAnsi="Times New Roman" w:cs="Times New Roman" w:eastAsia="Times New Roman"/>
                <w:b w:val="false"/>
                <w:sz w:val="26"/>
              </w:rPr>
              <w:t>10-03-2016</w:t>
            </w:r>
          </w:p>
        </w:tc>
        <w:tc>
          <w:p/>
        </w:tc>
      </w:tr>
      <w:tr>
        <w:tc>
          <w:p/>
          <w:p>
            <w:pPr>
              <w:spacing w:after="0" w:before="0" w:lineRule="auto" w:line="276"/>
              <w:jc w:val="left"/>
            </w:pPr>
            <w:r>
              <w:rPr>
                <w:rFonts w:ascii="Times New Roman" w:hAnsi="Times New Roman" w:cs="Times New Roman" w:eastAsia="Times New Roman"/>
                <w:b w:val="false"/>
                <w:sz w:val="26"/>
              </w:rPr>
              <w:t>18/2016/TT-BXD	</w:t>
            </w:r>
          </w:p>
        </w:tc>
        <w:tc>
          <w:p/>
          <w:p>
            <w:pPr>
              <w:spacing w:after="0" w:before="0" w:lineRule="auto" w:line="276"/>
              <w:jc w:val="left"/>
            </w:pPr>
            <w:r>
              <w:rPr>
                <w:rFonts w:ascii="Times New Roman" w:hAnsi="Times New Roman" w:cs="Times New Roman" w:eastAsia="Times New Roman"/>
                <w:b w:val="false"/>
                <w:sz w:val="26"/>
              </w:rPr>
              <w:t>Quy định chi tiết và hướng dẫn một số nội dung về thẩm định, phê duyệt dự án và thiết kế, dự toán xây dựng công trình</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Xây dựng</w:t>
            </w:r>
          </w:p>
        </w:tc>
      </w:tr>
      <w:tr>
        <w:tc>
          <w:p/>
          <w:p>
            <w:pPr>
              <w:spacing w:after="0" w:before="0" w:lineRule="auto" w:line="276"/>
              <w:jc w:val="left"/>
            </w:pPr>
            <w:r>
              <w:rPr>
                <w:rFonts w:ascii="Times New Roman" w:hAnsi="Times New Roman" w:cs="Times New Roman" w:eastAsia="Times New Roman"/>
                <w:b w:val="false"/>
                <w:sz w:val="26"/>
              </w:rPr>
              <w:t>42/2017/NĐ-CP</w:t>
            </w:r>
          </w:p>
        </w:tc>
        <w:tc>
          <w:p/>
          <w:p>
            <w:pPr>
              <w:spacing w:after="0" w:before="0" w:lineRule="auto" w:line="276"/>
              <w:jc w:val="left"/>
            </w:pPr>
            <w:r>
              <w:rPr>
                <w:rFonts w:ascii="Times New Roman" w:hAnsi="Times New Roman" w:cs="Times New Roman" w:eastAsia="Times New Roman"/>
                <w:b w:val="false"/>
                <w:sz w:val="26"/>
              </w:rPr>
              <w:t>Về sửa đổi, bổ sung một số điều Nghị định số 59/2015/NĐ-CP ngày 18 tháng 6 năm 2015 của Chính phủ về quản lý dự án đầu tư xây dựng.</w:t>
            </w:r>
          </w:p>
        </w:tc>
        <w:tc>
          <w:p/>
          <w:p>
            <w:pPr>
              <w:spacing w:after="0" w:before="0" w:lineRule="auto" w:line="276"/>
              <w:jc w:val="left"/>
            </w:pPr>
            <w:r>
              <w:rPr>
                <w:rFonts w:ascii="Times New Roman" w:hAnsi="Times New Roman" w:cs="Times New Roman" w:eastAsia="Times New Roman"/>
                <w:b w:val="false"/>
                <w:sz w:val="26"/>
              </w:rPr>
              <w:t>05-04-2017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24/2018/QĐ-UBND</w:t>
            </w:r>
          </w:p>
        </w:tc>
        <w:tc>
          <w:p/>
          <w:p>
            <w:pPr>
              <w:spacing w:after="0" w:before="0" w:lineRule="auto" w:line="276"/>
              <w:jc w:val="left"/>
            </w:pPr>
            <w:r>
              <w:rPr>
                <w:rFonts w:ascii="Times New Roman" w:hAnsi="Times New Roman" w:cs="Times New Roman" w:eastAsia="Times New Roman"/>
                <w:b w:val="false"/>
                <w:sz w:val="26"/>
              </w:rPr>
              <w:t>về việc Quy định phân công, phân cấp thẩm định dự án, thiết kế cơ sở và thiết kế, dự toán xây dựng công trình trên địa bàn tỉnh Thanh Hóa</w:t>
            </w:r>
          </w:p>
        </w:tc>
        <w:tc>
          <w:p/>
          <w:p>
            <w:pPr>
              <w:spacing w:after="0" w:before="0" w:lineRule="auto" w:line="276"/>
              <w:jc w:val="left"/>
            </w:pPr>
            <w:r>
              <w:rPr>
                <w:rFonts w:ascii="Times New Roman" w:hAnsi="Times New Roman" w:cs="Times New Roman" w:eastAsia="Times New Roman"/>
                <w:b w:val="false"/>
                <w:sz w:val="26"/>
              </w:rPr>
              <w:t>27-07-2018</w:t>
            </w:r>
          </w:p>
        </w:tc>
        <w:tc>
          <w:p/>
          <w:p>
            <w:pPr>
              <w:spacing w:after="0" w:before="0" w:lineRule="auto" w:line="276"/>
              <w:jc w:val="left"/>
            </w:pPr>
            <w:r>
              <w:rPr>
                <w:rFonts w:ascii="Times New Roman" w:hAnsi="Times New Roman" w:cs="Times New Roman" w:eastAsia="Times New Roman"/>
                <w:b w:val="false"/>
                <w:sz w:val="26"/>
              </w:rPr>
              <w:t>UBND tỉnh Thanh Hóa</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2026-05-23T16:28:16Z</dcterms:created>
  <dc:creator>Apache POI</dc:creator>
</cp:coreProperties>
</file>