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nước dưới đất đối với công trình có quy mô từ 5.000 m3/ngày đêm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phép nộp 01 bộ hồ sơ trực tiếp tại Bộ phận Tiếp nhận và Trả kết quả giải quyết thủ tục hành chính của Bộ Nông nghiệp và Môi trường (sau đây gọi tắt là Bộ phận Một cửa), địa chỉ số 10 Tôn Thất Thuyết, phường Cầu Giấy, Hà Nội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giấy phép. 
+ Trường hợp hồ sơ hợp lệ, Bộ phận Một cửa chuyển hồ sơ cho Cục Quản lý tài nguyên nước để tổ chức thẩm định.
- Bước 3: Thẩm định hồ sơ và quyết định cấp phép:
Kể từ ngày nhận đủ hồ sơ hợp lệ, Cục Quản lý tài nguyên nước có trách nhiệm gửi thông báo nộp phí thẩm định cho tổ chức, cá nhân đề nghị cấp phép và thẩm định hồ sơ; nếu cần thiết thì kiểm tra thực tế hiện trường, lập hội đồng thẩm định báo cáo, tổ chức lấy ý kiến các cơ quan, tổ chức, cá nhân có liên quan.
+ Trường hợp đủ điều kiện cấp phép, Cục Quản lý tài nguyên nước trình Bộ trưởng Bộ Nông nghiệp và Môi trường cấp phép; trường hợp không đủ điều kiện để cấp phép thì Cục Quản lý tài nguyên nước gửi văn bản thông báo cho tổ chức, cá nhân đề nghị cấp phép nêu rõ những nội dung báo cáo chưa đạt yêu cầu và trả lại hồ sơ đề nghị cấp phép.
+ Trường hợp phải bổ sung, chỉnh sửa để hoàn thiện báo cáo, Cục Quản lý tài nguyên nước gửi văn bản thông báo cho tổ chức, cá nhân đề nghị cấp phép nêu rõ những nội dung cần bổ sung, hoàn thiện báo cáo. 
Thời gian bổ sung, hoàn thiện báo cáo không tính vào thời gian thẩm định báo cáo. Thời gian thẩm định sau khi báo cáo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theo Mẫu 03,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thăm dò đánh giá trữ lượng nước dưới đất đối với công trình có quy mô từ 200 m3/ngày đêm trở lên theo Mẫu 38 Phụ lục I Nghị định số 23/2026/NĐ-CP hoặc báo cáo hiện trạng khai thác đối với trường hợp công trình khai thác nước dưới đất đang hoạt động theo Mẫu 40, Phụ lục I Nghị định số 23/2026/NĐ-CP</w:t>
            </w:r>
          </w:p>
        </w:tc>
        <w:tc>
          <w:p/>
          <w:p>
            <w:pPr>
              <w:spacing w:after="0" w:before="0" w:lineRule="auto" w:line="276"/>
              <w:jc w:val="left"/>
            </w:pPr>
            <w:r>
              <w:rPr>
                <w:rFonts w:ascii="Times New Roman" w:hAnsi="Times New Roman" w:cs="Times New Roman" w:eastAsia="Times New Roman"/>
                <w:b w:val="false"/>
                <w:sz w:val="26"/>
              </w:rPr>
              <w:t>Mau38.doc</w:t>
            </w:r>
          </w:p>
          <w:p>
            <w:pPr>
              <w:spacing w:after="0" w:before="0" w:lineRule="auto" w:line="276"/>
              <w:jc w:val="left"/>
            </w:pPr>
            <w:r>
              <w:rPr>
                <w:rFonts w:ascii="Times New Roman" w:hAnsi="Times New Roman" w:cs="Times New Roman" w:eastAsia="Times New Roman"/>
                <w:b w:val="false"/>
                <w:sz w:val="26"/>
              </w:rPr>
              <w:t>Mau40.doc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lấy ý kiến và văn bản tổng hợp tiếp thu, giải trình ý kiến cộng đồng (đối với trường hợp công trình khai thác nước dưới đất có quy mô khai thác từ 12.000 m3/ngày đêm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tài nguyên nước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nước dưới đất theo Mẫu 21 Phụ lục I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hoàn thành việc lấy ý kiến đại diện cộng đồng dân cư, tổ chức, cá nhân có liên quan (công trình khai thác nước dưới đất có quy mô khai thác từ 12.000 m3/ngày đêm trở lên).
- Việc khai thác tài nguyên nước phù hợp với nội dung quy định tại điểm a và điểm b khoản 1 Điều 8c của Nghị định số 23/2026/NĐ-CP; khai thác nước dưới đất phù hợp với quy định liên quan đến bảo vùng cấm, vùng hạn chế khai thác nước dưới đất theo quy định tại Điều 31 của Luật Tài nguyên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2026-05-19T13:00:21Z</dcterms:created>
  <dc:creator>Apache POI</dc:creator>
</cp:coreProperties>
</file>