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chuyển giao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chuyển giao công nghệ thuộc Danh mục công nghệ hạn chế chuyển giao, tổ chức, cá nhân (bên nhận công nghệ trong trường hợp chuyển giao công nghệ từ nước ngoài vào Việt Nam và chuyển giao công nghệ trong nước hoặc bên giao công nghệ trong trường hợp chuyển giao công nghệ từ Việt Nam ra nước ngoài) gửi hồ sơ đề nghị chấp thuận chuyển giao công nghệ đến Bộ Khoa học và Công nghệ.</w:t>
      </w:r>
    </w:p>
    <w:p>
      <w:pPr>
        <w:spacing w:after="0" w:before="0" w:lineRule="auto" w:line="276"/>
        <w:jc w:val="both"/>
      </w:pPr>
      <w:r>
        <w:rPr>
          <w:rFonts w:ascii="Times New Roman" w:hAnsi="Times New Roman" w:cs="Times New Roman" w:eastAsia="Times New Roman"/>
          <w:b w:val="false"/>
          <w:sz w:val="26"/>
        </w:rPr>
        <w:t>- Bộ Khoa học và Công nghệ (Vụ Đánh giá, Thẩm định và Giám định công nghệ) xem xét hồ sơ:</w:t>
      </w:r>
    </w:p>
    <w:p>
      <w:pPr>
        <w:spacing w:after="0" w:before="0" w:lineRule="auto" w:line="276"/>
        <w:jc w:val="both"/>
      </w:pPr>
      <w:r>
        <w:rPr>
          <w:rFonts w:ascii="Times New Roman" w:hAnsi="Times New Roman" w:cs="Times New Roman" w:eastAsia="Times New Roman"/>
          <w:b w:val="false"/>
          <w:sz w:val="26"/>
        </w:rPr>
        <w:t>+ Trường hợp hồ sơ không đầy đủ  theo quy định, trong thời hạn 03 ngày làm việc kể từ ngày nhận được hồ sơ, Bộ Khoa học và Công nghệ có văn bản đề nghị tổ chức, cá nhân bổ sung hồ sơ theo quy định.</w:t>
      </w:r>
    </w:p>
    <w:p>
      <w:pPr>
        <w:spacing w:after="0" w:before="0" w:lineRule="auto" w:line="276"/>
        <w:jc w:val="both"/>
      </w:pPr>
      <w:r>
        <w:rPr>
          <w:rFonts w:ascii="Times New Roman" w:hAnsi="Times New Roman" w:cs="Times New Roman" w:eastAsia="Times New Roman"/>
          <w:b w:val="false"/>
          <w:sz w:val="26"/>
        </w:rPr>
        <w:t>+ Trường hợp hồ sơ đáp ứng các yêu cầu theo quy định, trong thời hạn 30 ngày kể từ ngày nhận được hồ sơ, Bộ Khoa học và Công nghệ có văn bản chấp thuận chuyển giao công nghệ.</w:t>
      </w:r>
    </w:p>
    <w:p>
      <w:pPr>
        <w:spacing w:after="0" w:before="0" w:lineRule="auto" w:line="276"/>
        <w:jc w:val="both"/>
      </w:pPr>
      <w:r>
        <w:rPr>
          <w:rFonts w:ascii="Times New Roman" w:hAnsi="Times New Roman" w:cs="Times New Roman" w:eastAsia="Times New Roman"/>
          <w:b w:val="false"/>
          <w:sz w:val="26"/>
        </w:rPr>
        <w:t>+ Trường hợp từ chối chấp thuận chuyển giao công nghệ, Bộ Khoa học và Công nghệ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Nộp hồ sơ tại Trụ sở Bộ Khoa học và Công nghệ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Nộp hồ sơ tại Cổng dịch vụ công trực tuyến của Bộ Khoa học và Công nghệ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chấp thuận chuyển giao công nghệ;</w:t>
            </w:r>
          </w:p>
        </w:tc>
        <w:tc>
          <w:p/>
          <w:p>
            <w:pPr>
              <w:spacing w:after="0" w:before="0" w:lineRule="auto" w:line="276"/>
              <w:jc w:val="left"/>
            </w:pPr>
            <w:r>
              <w:rPr>
                <w:rFonts w:ascii="Times New Roman" w:hAnsi="Times New Roman" w:cs="Times New Roman" w:eastAsia="Times New Roman"/>
                <w:b w:val="false"/>
                <w:sz w:val="26"/>
              </w:rPr>
              <w:t>Mẫu Van ban de nghi chap thuan chuyen giao cong nghe.docx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về tư cách pháp lý của bên đề nghị: Bản sao Giấy Chứng nhận đăng ký đầu tư (hoặc Giấy Chứng nhận đăng ký doanh nghiệp hoặc Giấp phép kinh doanh,...); bản sao văn bản xác nhận tư cách pháp lý của người đại diện bên đề nghị; bản sao chứng minh thư nhân dân/thẻ căn cước công dân/hộ chiếu (còn thời hạn theo quy định) đối với cá nhân tham gia chuyển giao công nghệ hoặc người đại diện theo pháp luật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giải trình về công nghệ;</w:t>
            </w:r>
          </w:p>
        </w:tc>
        <w:tc>
          <w:p/>
          <w:p>
            <w:pPr>
              <w:spacing w:after="0" w:before="0" w:lineRule="auto" w:line="276"/>
              <w:jc w:val="left"/>
            </w:pPr>
            <w:r>
              <w:rPr>
                <w:rFonts w:ascii="Times New Roman" w:hAnsi="Times New Roman" w:cs="Times New Roman" w:eastAsia="Times New Roman"/>
                <w:b w:val="false"/>
                <w:sz w:val="26"/>
              </w:rPr>
              <w:t>Mẫu Tài liệu giải trình công nghệ.docx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giải trình về điều kiện sử dụng công nghệ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giải trình về việc phù hợp với quy định của pháp luật về tiêu chuẩn và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uỷ quyền (trong trường hợp uỷ quyền cho bên thứ ba thực hiện thủ tục đề nghị chấp thuận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Đánh giá, Thẩm định và Giám định công nghệ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Văn bản chấp thuận chuyển giao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02/2018/TT-BKHCN</w:t>
            </w:r>
          </w:p>
        </w:tc>
        <w:tc>
          <w:p/>
          <w:p>
            <w:pPr>
              <w:spacing w:after="0" w:before="0" w:lineRule="auto" w:line="276"/>
              <w:jc w:val="left"/>
            </w:pPr>
            <w:r>
              <w:rPr>
                <w:rFonts w:ascii="Times New Roman" w:hAnsi="Times New Roman" w:cs="Times New Roman" w:eastAsia="Times New Roman"/>
                <w:b w:val="false"/>
                <w:sz w:val="26"/>
              </w:rPr>
              <w:t>Thông tư 02/2018/TT-BKHCN</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Thông tư 169/2016/TT-BTC</w:t>
            </w:r>
          </w:p>
        </w:tc>
        <w:tc>
          <w:p/>
          <w:p>
            <w:pPr>
              <w:spacing w:after="0" w:before="0" w:lineRule="auto" w:line="276"/>
              <w:jc w:val="left"/>
            </w:pPr>
            <w:r>
              <w:rPr>
                <w:rFonts w:ascii="Times New Roman" w:hAnsi="Times New Roman" w:cs="Times New Roman" w:eastAsia="Times New Roman"/>
                <w:b w:val="false"/>
                <w:sz w:val="26"/>
              </w:rPr>
              <w:t>Thông tư 169/2016/TT-BTC - Quy định mức thu, chế độ thu, nộp, quản lý và sử dụng phí thẩm định hợp đồng chuyển giao công nghệ</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07/2017/QH14-Luật chuyển giao công nghệ</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2026-05-09T03:12:01Z</dcterms:created>
  <dc:creator>Apache POI</dc:creator>
</cp:coreProperties>
</file>