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Các tổ chức trực thuộc thành viên tham gia hệ thống Thanh toán điện tử liên ngân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thanh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Các tổ chức trực thuộc tổ chức cung ứng dịch vụ thanh toán muốn trở thành đơn vị thành viên hệ thống TTLNH, tổ chức cung ứng dịch vụ thanh toán lập và gửi hồ sơ đến Ban điều hành hệ thống TTLNH (gửi qua Cục Công nghệ tin học, Ngân hàng Nhà nước Việt Nam).</w:t>
      </w:r>
    </w:p>
    <w:p>
      <w:pPr>
        <w:spacing w:after="0" w:before="0" w:lineRule="auto" w:line="276"/>
        <w:jc w:val="both"/>
      </w:pPr>
      <w:r>
        <w:rPr>
          <w:rFonts w:ascii="Times New Roman" w:hAnsi="Times New Roman" w:cs="Times New Roman" w:eastAsia="Times New Roman"/>
          <w:b w:val="false"/>
          <w:sz w:val="26"/>
        </w:rPr>
        <w:t>- Bước 2:
Ban điều hành hệ thống TTLNH thẩm định, xem xét tính hợp lệ của hồ sơ đăng ký tham gia.</w:t>
      </w:r>
    </w:p>
    <w:p>
      <w:pPr>
        <w:spacing w:after="0" w:before="0" w:lineRule="auto" w:line="276"/>
        <w:jc w:val="both"/>
      </w:pPr>
      <w:r>
        <w:rPr>
          <w:rFonts w:ascii="Times New Roman" w:hAnsi="Times New Roman" w:cs="Times New Roman" w:eastAsia="Times New Roman"/>
          <w:b w:val="false"/>
          <w:sz w:val="26"/>
        </w:rPr>
        <w:t>- Bước 3:
Chậm nhất trong 30 ngày làm việc kể từ ngày nhận đủ hồ sơ hợp lệ, Ban điều hành hệ thống TTLNH có thông báo kết quả xử lý hồ sơ tới tổ chức và đến tất các thành viên hệ thống TTLNH.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đơn vị thành viên tham gia hệ thống TTLNH.</w:t>
            </w:r>
          </w:p>
        </w:tc>
        <w:tc>
          <w:p/>
          <w:p>
            <w:pPr>
              <w:spacing w:after="0" w:before="0" w:lineRule="auto" w:line="276"/>
              <w:jc w:val="left"/>
            </w:pPr>
            <w:r>
              <w:rPr>
                <w:rFonts w:ascii="Times New Roman" w:hAnsi="Times New Roman" w:cs="Times New Roman" w:eastAsia="Times New Roman"/>
                <w:b w:val="false"/>
                <w:sz w:val="26"/>
              </w:rPr>
              <w:t>n ng lý n v thành viên tham gia h thng TTLNH - TTLNH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64/2001/NĐ-CP</w:t>
            </w:r>
          </w:p>
        </w:tc>
        <w:tc>
          <w:p/>
          <w:p>
            <w:pPr>
              <w:spacing w:after="0" w:before="0" w:lineRule="auto" w:line="276"/>
              <w:jc w:val="left"/>
            </w:pPr>
            <w:r>
              <w:rPr>
                <w:rFonts w:ascii="Times New Roman" w:hAnsi="Times New Roman" w:cs="Times New Roman" w:eastAsia="Times New Roman"/>
                <w:b w:val="false"/>
                <w:sz w:val="26"/>
              </w:rPr>
              <w:t>	 Nghị định 64/2001/NĐ-CP</w:t>
            </w:r>
          </w:p>
        </w:tc>
        <w:tc>
          <w:p/>
          <w:p>
            <w:pPr>
              <w:spacing w:after="0" w:before="0" w:lineRule="auto" w:line="276"/>
              <w:jc w:val="left"/>
            </w:pPr>
            <w:r>
              <w:rPr>
                <w:rFonts w:ascii="Times New Roman" w:hAnsi="Times New Roman" w:cs="Times New Roman" w:eastAsia="Times New Roman"/>
                <w:b w:val="false"/>
                <w:sz w:val="26"/>
              </w:rPr>
              <w:t>20-09-2001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26/2007/NĐ-CP</w:t>
            </w:r>
          </w:p>
        </w:tc>
        <w:tc>
          <w:p/>
          <w:p>
            <w:pPr>
              <w:spacing w:after="0" w:before="0" w:lineRule="auto" w:line="276"/>
              <w:jc w:val="left"/>
            </w:pPr>
            <w:r>
              <w:rPr>
                <w:rFonts w:ascii="Times New Roman" w:hAnsi="Times New Roman" w:cs="Times New Roman" w:eastAsia="Times New Roman"/>
                <w:b w:val="false"/>
                <w:sz w:val="26"/>
              </w:rPr>
              <w:t>Nghị định 26/2007/NĐ-CP</w:t>
            </w:r>
          </w:p>
        </w:tc>
        <w:tc>
          <w:p/>
          <w:p>
            <w:pPr>
              <w:spacing w:after="0" w:before="0" w:lineRule="auto" w:line="276"/>
              <w:jc w:val="left"/>
            </w:pPr>
            <w:r>
              <w:rPr>
                <w:rFonts w:ascii="Times New Roman" w:hAnsi="Times New Roman" w:cs="Times New Roman" w:eastAsia="Times New Roman"/>
                <w:b w:val="false"/>
                <w:sz w:val="26"/>
              </w:rPr>
              <w:t>15-02-2007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35/2007/NĐ-CP</w:t>
            </w:r>
          </w:p>
        </w:tc>
        <w:tc>
          <w:p/>
          <w:p>
            <w:pPr>
              <w:spacing w:after="0" w:before="0" w:lineRule="auto" w:line="276"/>
              <w:jc w:val="left"/>
            </w:pPr>
            <w:r>
              <w:rPr>
                <w:rFonts w:ascii="Times New Roman" w:hAnsi="Times New Roman" w:cs="Times New Roman" w:eastAsia="Times New Roman"/>
                <w:b w:val="false"/>
                <w:sz w:val="26"/>
              </w:rPr>
              <w:t>Nghị định 35/2007/NĐ-CP</w:t>
            </w:r>
          </w:p>
        </w:tc>
        <w:tc>
          <w:p/>
          <w:p>
            <w:pPr>
              <w:spacing w:after="0" w:before="0" w:lineRule="auto" w:line="276"/>
              <w:jc w:val="left"/>
            </w:pPr>
            <w:r>
              <w:rPr>
                <w:rFonts w:ascii="Times New Roman" w:hAnsi="Times New Roman" w:cs="Times New Roman" w:eastAsia="Times New Roman"/>
                <w:b w:val="false"/>
                <w:sz w:val="26"/>
              </w:rPr>
              <w:t>08-03-2007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50/2007/QĐ-NHNN</w:t>
            </w:r>
          </w:p>
        </w:tc>
        <w:tc>
          <w:p/>
          <w:p>
            <w:pPr>
              <w:spacing w:after="0" w:before="0" w:lineRule="auto" w:line="276"/>
              <w:jc w:val="left"/>
            </w:pPr>
            <w:r>
              <w:rPr>
                <w:rFonts w:ascii="Times New Roman" w:hAnsi="Times New Roman" w:cs="Times New Roman" w:eastAsia="Times New Roman"/>
                <w:b w:val="false"/>
                <w:sz w:val="26"/>
              </w:rPr>
              <w:t>Quyết định 50/2007/QĐ-NHNN</w:t>
            </w:r>
          </w:p>
        </w:tc>
        <w:tc>
          <w:p/>
          <w:p>
            <w:pPr>
              <w:spacing w:after="0" w:before="0" w:lineRule="auto" w:line="276"/>
              <w:jc w:val="left"/>
            </w:pPr>
            <w:r>
              <w:rPr>
                <w:rFonts w:ascii="Times New Roman" w:hAnsi="Times New Roman" w:cs="Times New Roman" w:eastAsia="Times New Roman"/>
                <w:b w:val="false"/>
                <w:sz w:val="26"/>
              </w:rPr>
              <w:t>28-12-2007</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23/2010/TT-NHNN</w:t>
            </w:r>
          </w:p>
        </w:tc>
        <w:tc>
          <w:p/>
          <w:p>
            <w:pPr>
              <w:spacing w:after="0" w:before="0" w:lineRule="auto" w:line="276"/>
              <w:jc w:val="left"/>
            </w:pPr>
            <w:r>
              <w:rPr>
                <w:rFonts w:ascii="Times New Roman" w:hAnsi="Times New Roman" w:cs="Times New Roman" w:eastAsia="Times New Roman"/>
                <w:b w:val="false"/>
                <w:sz w:val="26"/>
              </w:rPr>
              <w:t>Thông tư 23/2010/TT-NHNN</w:t>
            </w:r>
          </w:p>
        </w:tc>
        <w:tc>
          <w:p/>
          <w:p>
            <w:pPr>
              <w:spacing w:after="0" w:before="0" w:lineRule="auto" w:line="276"/>
              <w:jc w:val="left"/>
            </w:pPr>
            <w:r>
              <w:rPr>
                <w:rFonts w:ascii="Times New Roman" w:hAnsi="Times New Roman" w:cs="Times New Roman" w:eastAsia="Times New Roman"/>
                <w:b w:val="false"/>
                <w:sz w:val="26"/>
              </w:rPr>
              <w:t>09-11-2010</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Được sự đồng ý của thành viên quản lý trực tiếp;
(ii). Phải đăng ký tên, chức vụ, chữ ký mẫu và địa chỉ liên hệ của cán bộ được giao trách nhiệm hoặc uỷ quyền thực hiện TTLNH của đơn vị.
(iii). Phải đăng ký thiết bị đầu cuối, kênh truyền thông và có chữ ký điện tử do Cục Công nghệ tin học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2026-05-21T16:46:50Z</dcterms:created>
  <dc:creator>Apache POI</dc:creator>
</cp:coreProperties>
</file>