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gia hạn, sửa đổi, bổ sung nội dung chuyển giao công nghệ (trừ trường hợp thuộc thẩm quyền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(Bên nhận công nghệ) trong trường hợp chuyển giao công nghệ từ nước ngoài vào Việt Nam, chuyển giao công nghệ trong nước hoặc bên giao công nghệ trong trường hợp chuyển giao công nghệ từ Việt Nam ra nước ngoài thay mặt các bên gửi hồ sơ đăng ký chuyển giao công nghệ đến cơ quan có thẩm quyền cấp Giấy chứng nhận đăng ký chuyển giao công nghệ. 
- Cơ quan chuyên môn về khoa học công nghệ thuộc Ủy ban nhân dân cấp tỉnh xem xét hồ sơ:
+ Trường hợp hồ sơ chưa đầy đủ theo quy định, trong thời hạn 03 ngày làm việc kể từ ngày nhận được hồ sơ, cơ quan có thẩm quyền có văn bản đề nghị bên đăng ký chuyển giao công nghệ bổ sung hồ sơ. Bên đăng ký chuyển giao công nghệ có trách nhiệm bổ sung hồ sơ trong thời hạn 30 ngày kể từ ngày nhận được văn bản đề nghị bổ sung hồ sơ. Cơ quan có thẩm quyền kết thúc việc xử lý hồ sơ khi quá thời hạn mà bên đăng ký chuyển giao công nghệ chưa nộp hồ sơ bổ sung; 
+ Trong thời hạn 05 ngày làm việc kể từ ngày nhận được hồ sơ đầy đủ theo quy định tại khoản 3 Điều 31 Luật số 07/2017/QH14, được sửa đổi, bổ sung tại khoản 14 Điều 1 Luật số 115/2025/QH15, cơ quan có thẩm quyền quy định tại Điều 21 Nghị định 101/2026/NĐ-CP cấp Giấy chứng nhận đăng ký chuyển giao công nghệ;
+ Trường hợp hồ sơ có nội dung cần phải sửa đổi, bổ sung, trong thời hạn 05 ngày làm việc kể từ ngày nhận được hồ sơ theo quy định, cơ quan có thẩm quyền có văn bản đề nghị bên đăng ký chuyển giao công nghệ sửa đổi, bổ sung;
+ Trường hợp từ chối, trong thời hạn 05 ngày làm việc kể từ ngày nhận được hồ sơ theo quy định,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3.000.000-5.000.000 Đồng</w:t>
              <w:t xml:space="preserve"> (Đối với các hợp đồng chuyển giao công nghệ đề nghị đăng ký sửa đổi, bổ sung thì phí thẩm định hợp đồng chuyển giao công nghệ được tính theo tỷ lệ bằng 0,1% (một phần nghìn) tổng giá trị của hợp đồng sửa đổi, bổ sung nhưng tối đa không quá 05 (năm) triệu đồng và tối thiểu không dưới 03 (ba) triệu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3.000.000-5.000.000 Đồng</w:t>
              <w:t xml:space="preserve"> (Phí : 3.000.000-5.000.000 Đồng (Đối với các hợp đồng chuyển giao công nghệ đề nghị đăng ký sửa đổi, bổ sung thì phí thẩm định hợp đồng chuyển giao công nghệ được tính theo tỷ lệ bằng 0,1% (một phần nghìn) tổng giá trị của hợp đồng sửa đổi, bổ sung nhưng tối đa không quá 05 (năm) triệu đồng và tối thiểu không dưới 03 (ba) triệu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 hoặc ứng dụng định danh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3.000.000-5.000.000 Đồng</w:t>
              <w:t xml:space="preserve"> (Đối với các hợp đồng chuyển giao công nghệ đề nghị đăng ký sửa đổi, bổ sung thì phí thẩm định hợp đồng chuyển giao công nghệ được tính theo tỷ lệ bằng 0,1% (một phần nghìn) tổng giá trị của hợp đồng sửa đổi, bổ sung nhưng tối đa không quá 05 (năm) triệu đồng và tối thiểu không dưới 03 (ba) triệu đồng.)</w:t>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đăng ký gia hạn, sửa đổi, bổ sung nội dung chuyển giao công nghệ;</w:t>
            </w:r>
          </w:p>
        </w:tc>
        <w:tc>
          <w:p/>
          <w:p>
            <w:pPr>
              <w:spacing w:after="0" w:before="0" w:lineRule="auto" w:line="276"/>
              <w:jc w:val="left"/>
            </w:pPr>
            <w:r>
              <w:rPr>
                <w:rFonts w:ascii="Times New Roman" w:hAnsi="Times New Roman" w:cs="Times New Roman" w:eastAsia="Times New Roman"/>
                <w:b w:val="false"/>
                <w:sz w:val="26"/>
              </w:rPr>
              <w:t>Maudonsuadoi.docx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bằng tiếng Việt hoặc bản sao có chứng thực văn bản gia hạn, sửa đổi, bổ sung; trường hợp không có văn bản bằng tiếng Việt thì phải có bản dịch sang tiếng Việt và được công chứng hoặc chứng thực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gia hạn, sửa đổi, bổ sung nội dung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Thông tư 169/2016/TT-BTC - Quy định mức thu, chế độ thu, nộp, quản lý và sử dụng phí thẩm định hợp đồng chuyển giao công nghệ</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115/2025/QH15</w:t>
            </w:r>
          </w:p>
        </w:tc>
        <w:tc>
          <w:p/>
          <w:p>
            <w:pPr>
              <w:spacing w:after="0" w:before="0" w:lineRule="auto" w:line="276"/>
              <w:jc w:val="left"/>
            </w:pPr>
            <w:r>
              <w:rPr>
                <w:rFonts w:ascii="Times New Roman" w:hAnsi="Times New Roman" w:cs="Times New Roman" w:eastAsia="Times New Roman"/>
                <w:b w:val="false"/>
                <w:sz w:val="26"/>
              </w:rPr>
              <w:t>Luật số 115/2025/QH15 của Quốc hội: Luật sửa đổi, bổ sung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Số 101/2026/NĐ-CP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để hướng dẫn thi hành Luật Chuyển giao công nghệ</w:t>
            </w:r>
          </w:p>
        </w:tc>
        <w:tc>
          <w:p/>
          <w:p>
            <w:pPr>
              <w:spacing w:after="0" w:before="0" w:lineRule="auto" w:line="276"/>
              <w:jc w:val="left"/>
            </w:pPr>
            <w:r>
              <w:rPr>
                <w:rFonts w:ascii="Times New Roman" w:hAnsi="Times New Roman" w:cs="Times New Roman" w:eastAsia="Times New Roman"/>
                <w:b w:val="false"/>
                <w:sz w:val="26"/>
              </w:rPr>
              <w:t>31-03-2026</w:t>
            </w:r>
          </w:p>
        </w:tc>
        <w:tc>
          <w:p/>
        </w:tc>
      </w:tr>
      <w:tr>
        <w:tc>
          <w:p/>
          <w:p>
            <w:pPr>
              <w:spacing w:after="0" w:before="0" w:lineRule="auto" w:line="276"/>
              <w:jc w:val="left"/>
            </w:pPr>
            <w:r>
              <w:rPr>
                <w:rFonts w:ascii="Times New Roman" w:hAnsi="Times New Roman" w:cs="Times New Roman" w:eastAsia="Times New Roman"/>
                <w:b w:val="false"/>
                <w:sz w:val="26"/>
              </w:rPr>
              <w:t>Số 09/2026/TT-BKHCN</w:t>
            </w:r>
          </w:p>
        </w:tc>
        <w:tc>
          <w:p/>
          <w:p>
            <w:pPr>
              <w:spacing w:after="0" w:before="0" w:lineRule="auto" w:line="276"/>
              <w:jc w:val="left"/>
            </w:pPr>
            <w:r>
              <w:rPr>
                <w:rFonts w:ascii="Times New Roman" w:hAnsi="Times New Roman" w:cs="Times New Roman" w:eastAsia="Times New Roman"/>
                <w:b w:val="false"/>
                <w:sz w:val="26"/>
              </w:rPr>
              <w:t>Thông tư Quy định biểu mẫu phục vụ thẩm định công nghệ trong dự án đầu tư, đăng ký, cấp phép chuyển giao công nghệ, chứng nhận đủ điều kiện hoạt động dịch vụ đánh giá, giám định công nghệ và báo cáo tình hình thực hiện</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90 ngày kể từ ngày ký văn bản thỏa thuận gia hạn, sửa đổi, bổ sung nội dung chuyển giao công nghệ, bên nhận công nghệ trong trường hợp chuyển giao công nghệ từ nước ngoài vào Việt Nam, chuyển giao công nghệ trong nước hoặc bên giao công nghệ trong trường hợp chuyển giao công nghệ từ Việt Nam ra nước ngoài thay mặt các bên phải gửi hồ sơ đến cơ quan có thẩm quyền cấp Giấy chứng nhận đăng ký gia hạn, sửa đổi, bổ sung nội dung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gia hạn, sửa đổi, bổ sung nội dung chuyển giao công nghệ (trừ trường hợp thuộc thẩm quyền của Bộ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2026-05-25T08:02:02Z</dcterms:created>
  <dc:creator>Apache POI</dc:creator>
</cp:coreProperties>
</file>