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quân nhân, người làm công tác cơ yếu hưởng lương như đối với quân nhân, công an nhân dân; công nhân viên chức quốc phòng; dân quân tự vệ trực tiếp tham gia chiến tranh bảo vệ Tổ quốc và làm nhiệm vụ quốc tế sau ngày 30/4/1975 đã phục viên, xuất ngũ, thôi việc (đối với đối tượng đã từ trần) do Bộ Quốc phòng giải quyết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Thân nhân đối tượng làm bản khai và nộp các giấy tờ theo quy định cho Trưởng thôn nơi đăng ký hộ khẩu thường trú;</w:t>
      </w:r>
    </w:p>
    <w:p>
      <w:pPr>
        <w:spacing w:after="0" w:before="0" w:lineRule="auto" w:line="276"/>
        <w:jc w:val="both"/>
      </w:pPr>
      <w:r>
        <w:rPr>
          <w:rFonts w:ascii="Times New Roman" w:hAnsi="Times New Roman" w:cs="Times New Roman" w:eastAsia="Times New Roman"/>
          <w:b w:val="false"/>
          <w:sz w:val="26"/>
        </w:rPr>
        <w:t>-	Hội đồng chính sách cấp xã tiếp nhận hồ sơ do các Trưởng thôn báo cáo; phân loại hồ sơ, họp xét duyệt, tổng hợp, hoàn thiện hồ sơ báo cáo Ban Chỉ huy quân sự huyện;</w:t>
      </w:r>
    </w:p>
    <w:p>
      <w:pPr>
        <w:spacing w:after="0" w:before="0" w:lineRule="auto" w:line="276"/>
        <w:jc w:val="both"/>
      </w:pPr>
      <w:r>
        <w:rPr>
          <w:rFonts w:ascii="Times New Roman" w:hAnsi="Times New Roman" w:cs="Times New Roman" w:eastAsia="Times New Roman"/>
          <w:b w:val="false"/>
          <w:sz w:val="26"/>
        </w:rPr>
        <w:t>-	Ban Chỉ huy quân sự huyện tiếp nhận hồ sơ đối tượng do UBND xã báo cáo; rà soát, đối chiếu, tổng hợp, báo cáo Bộ Chỉ huy quân sự tỉnh;</w:t>
      </w:r>
    </w:p>
    <w:p>
      <w:pPr>
        <w:spacing w:after="0" w:before="0" w:lineRule="auto" w:line="276"/>
        <w:jc w:val="both"/>
      </w:pPr>
      <w:r>
        <w:rPr>
          <w:rFonts w:ascii="Times New Roman" w:hAnsi="Times New Roman" w:cs="Times New Roman" w:eastAsia="Times New Roman"/>
          <w:b w:val="false"/>
          <w:sz w:val="26"/>
        </w:rPr>
        <w:t>-	Bộ Chỉ huy quân sự tỉnh, Cục Chính trị - BTL Thủ đô Hà Nội tiếp nhận hồ sơ do Ban Chỉ huy quân sự huyện báo cáo; tổ chức xét duyệt, tổng hợp, báo cáo đề nghị BTL quân khu thẩm định;</w:t>
      </w:r>
    </w:p>
    <w:p>
      <w:pPr>
        <w:spacing w:after="0" w:before="0" w:lineRule="auto" w:line="276"/>
        <w:jc w:val="both"/>
      </w:pPr>
      <w:r>
        <w:rPr>
          <w:rFonts w:ascii="Times New Roman" w:hAnsi="Times New Roman" w:cs="Times New Roman" w:eastAsia="Times New Roman"/>
          <w:b w:val="false"/>
          <w:sz w:val="26"/>
        </w:rPr>
        <w:t>-	Bộ Tư lệnh quân khu thẩm định, ra quyết định hưởng chế độ trợ cấp một lần cho các đối tượng thuộc quyền.</w:t>
      </w:r>
    </w:p>
    <w:p>
      <w:pPr>
        <w:spacing w:after="0" w:before="0" w:lineRule="auto" w:line="276"/>
        <w:jc w:val="both"/>
      </w:pPr>
      <w:r>
        <w:rPr>
          <w:rFonts w:ascii="Times New Roman" w:hAnsi="Times New Roman" w:cs="Times New Roman" w:eastAsia="Times New Roman"/>
          <w:b w:val="false"/>
          <w:sz w:val="26"/>
        </w:rPr>
        <w:t>-  BTL Thủ đô Hà Nội ra quyết định trợ cấp một lần cho các đối tượng sau khi có ý kiến thẩm định của Cục Chính sách - Tổng cục Chính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đối tượng thuộc BTL quân khu là 35 ngày làm việc; đối tượng thuộc BTL Thủ đô Hà Nội là 25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Hội đồng chính sách xã (phường): Không quá 05 ngày làm việc;
- Ban CHQS huyện: Không quá 10 ngày làm việc;
- Bộ CHQS tỉnh, Bộ Tư lệnh Thủ đô Hà Nội: Không quá 10 ngày làm việc;
- Bộ Tư lệnh quân khu: Không quá 10 ngày làm việc (bao gồm cả thời gian thẩm định
của Cục Chính sách - Tổng cục Chính trị);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của thân nhân đối tượng (bản chính, 01 bản).</w:t>
            </w:r>
          </w:p>
        </w:tc>
        <w:tc>
          <w:p/>
          <w:p>
            <w:pPr>
              <w:spacing w:after="0" w:before="0" w:lineRule="auto" w:line="276"/>
              <w:jc w:val="left"/>
            </w:pPr>
            <w:r>
              <w:rPr>
                <w:rFonts w:ascii="Times New Roman" w:hAnsi="Times New Roman" w:cs="Times New Roman" w:eastAsia="Times New Roman"/>
                <w:b w:val="false"/>
                <w:sz w:val="26"/>
              </w:rPr>
              <w:t>MU1C.docx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(nếu có): 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Quyết định phục viên, xuất ngũ, chuyển ngành, thôi việc hoặc hết nhiệm vụ hoặc chuyển sang công nhân viên chức quốc phòng rồi thôi việc,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cấp giấy chứng nhận thương binh và trợ cấp thương tật hoặc bản trích lục hồ sơ thương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phiếu quân nhân;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đối tượng phục viên, xuất ngũ, chuyển ngành, thôi việc (đối với trường hợp đối tượng không có giấy tờ nêu trên; mẫu 7, bản chính), do thủ trưởng cơ quan, đơn vị trực tiếp quản lý đối tượng trước khi phục viên, xuất ngũ, thôi việc hoặc cử đi lao động hợp tác quốc tế, chuyển ngành hoặc chuyển sang công nhân viên quốc phòng rồi thôi việc cấp, ký, đóng dấu, kèm theo bản photcoppy hồ sơ của đối tượng hoặc danh sách đăng ký, quản lý đối tượng mà cơ quan, đơn vị đang lưu trữ để làm căn cứ xác nhận. Trường hợp cơ quan, đơn vị cũ đã sáp nhập hoặc giải thể thì do cơ quan, đơn vị mới được thành lập sau sáp nhập hoặc cấp trên trực tiếp của cơ quan, đơn vị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nhập ngũ, tuyển dụng; phong, thăng quân hàm, nâng lương;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quân nhân dự bị; phiếu khám sức khỏe,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tử hoặc giấy báo tử (bản chính hoặc bản sao,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Hội đồng chính sách xã, phường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chính sách xã (qua Trưởng thôn)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 Cục Chính sách - Xã hội/Tổng cục Chính trị</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thực hiện chế độ trợ cấp một lần đối với đối tượng tham gia chiến tranh bảo vệ Tổ quốc và làm nhiệm vụ quốc tế Quyết định số 62/2011/QĐ-TTg ngày 09/11/2011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công nhân viên chức quốc phòng; dân quân tự vệ trực tiếp tham gia chiến tranh bảo vệ Tổ quốc và làm nhiệm vụ quốc tế sau ngày 30/4/1975 đã phục viên, xuất ngũ, thôi việc (đã từ trần).
- Không thuộc diện hiện hưởng chế độ hưu trí, mất sức lao động, bệnh binh hàng tháng.
- Không thuộc các trường hợp sau: Đào ngũ, đầu hàng, phản bội, chiêu hồi; vi phạm pháp luật hiện đang thi hành án tù giam, tù chung thân hoặc đã bị kết án về một trong các tội xâm phạm an ninh quốc gia mà chưa được xoá án tích; bị tước danh hiêu quân nhân, danh hiệu dân quân tự vệ,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2026-05-23T16:38:31Z</dcterms:created>
  <dc:creator>Apache POI</dc:creator>
</cp:coreProperties>
</file>